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C" w:rsidRDefault="009C634C" w:rsidP="009C634C">
      <w:pPr>
        <w:pStyle w:val="PR-Body"/>
        <w:rPr>
          <w:b/>
          <w:sz w:val="20"/>
          <w:szCs w:val="20"/>
        </w:rPr>
      </w:pPr>
    </w:p>
    <w:p w:rsidR="009C634C" w:rsidRPr="0058734F" w:rsidRDefault="009C634C" w:rsidP="009C634C">
      <w:pPr>
        <w:pStyle w:val="PR-Body"/>
        <w:ind w:left="900"/>
        <w:rPr>
          <w:bCs/>
          <w:sz w:val="20"/>
          <w:szCs w:val="20"/>
        </w:rPr>
      </w:pPr>
      <w:r w:rsidRPr="00E30125">
        <w:rPr>
          <w:b/>
          <w:sz w:val="20"/>
          <w:szCs w:val="20"/>
        </w:rPr>
        <w:t>Customer Contact:</w:t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58734F">
        <w:rPr>
          <w:bCs/>
          <w:sz w:val="20"/>
          <w:szCs w:val="20"/>
        </w:rPr>
        <w:tab/>
      </w:r>
      <w:r w:rsidRPr="00E30125">
        <w:rPr>
          <w:b/>
          <w:sz w:val="20"/>
          <w:szCs w:val="20"/>
        </w:rPr>
        <w:t>Media Contact:</w:t>
      </w:r>
      <w:r w:rsidRPr="0058734F">
        <w:rPr>
          <w:bCs/>
          <w:sz w:val="20"/>
          <w:szCs w:val="20"/>
        </w:rPr>
        <w:t xml:space="preserve"> </w:t>
      </w:r>
    </w:p>
    <w:p w:rsidR="009C634C" w:rsidRPr="001B2D60" w:rsidRDefault="009C634C" w:rsidP="009C634C">
      <w:pPr>
        <w:pStyle w:val="PR-Body"/>
        <w:ind w:left="900"/>
        <w:rPr>
          <w:b/>
          <w:sz w:val="20"/>
          <w:szCs w:val="20"/>
        </w:rPr>
      </w:pPr>
      <w:r w:rsidRPr="0058734F">
        <w:rPr>
          <w:bCs/>
          <w:sz w:val="20"/>
          <w:szCs w:val="20"/>
        </w:rPr>
        <w:t>Advantech Europe GmbH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734F">
        <w:rPr>
          <w:bCs/>
          <w:sz w:val="20"/>
          <w:szCs w:val="20"/>
        </w:rPr>
        <w:t>Advantech Europe GmbH</w:t>
      </w:r>
    </w:p>
    <w:p w:rsidR="009C634C" w:rsidRPr="000145FB" w:rsidRDefault="009C634C" w:rsidP="009C634C">
      <w:pPr>
        <w:pStyle w:val="PR-Body"/>
        <w:ind w:left="900"/>
        <w:rPr>
          <w:b/>
          <w:sz w:val="20"/>
          <w:szCs w:val="20"/>
        </w:rPr>
      </w:pPr>
      <w:r w:rsidRPr="0081312F">
        <w:rPr>
          <w:bCs/>
          <w:sz w:val="20"/>
          <w:szCs w:val="20"/>
        </w:rPr>
        <w:t>Customer Care Center</w:t>
      </w:r>
      <w:r>
        <w:rPr>
          <w:b/>
          <w:sz w:val="20"/>
          <w:szCs w:val="20"/>
        </w:rPr>
        <w:tab/>
      </w:r>
      <w:r w:rsidRPr="000145FB">
        <w:rPr>
          <w:b/>
          <w:sz w:val="20"/>
          <w:szCs w:val="20"/>
        </w:rPr>
        <w:tab/>
      </w:r>
      <w:r w:rsidRPr="000145FB">
        <w:rPr>
          <w:b/>
          <w:sz w:val="20"/>
          <w:szCs w:val="20"/>
        </w:rPr>
        <w:tab/>
      </w:r>
      <w:r w:rsidRPr="000145FB">
        <w:rPr>
          <w:b/>
          <w:sz w:val="20"/>
          <w:szCs w:val="20"/>
        </w:rPr>
        <w:tab/>
      </w:r>
      <w:r w:rsidRPr="000145FB">
        <w:rPr>
          <w:b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Marielle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Severac</w:t>
      </w:r>
      <w:proofErr w:type="spellEnd"/>
      <w:r w:rsidRPr="000145FB">
        <w:rPr>
          <w:b/>
          <w:sz w:val="20"/>
          <w:szCs w:val="20"/>
        </w:rPr>
        <w:tab/>
      </w:r>
    </w:p>
    <w:p w:rsidR="009C634C" w:rsidRPr="00D90369" w:rsidRDefault="009C634C" w:rsidP="009C634C">
      <w:pPr>
        <w:pStyle w:val="PR-Body"/>
        <w:ind w:left="900"/>
        <w:rPr>
          <w:b/>
          <w:sz w:val="20"/>
          <w:szCs w:val="20"/>
        </w:rPr>
      </w:pPr>
      <w:r w:rsidRPr="00D90369">
        <w:rPr>
          <w:bCs/>
          <w:sz w:val="20"/>
          <w:szCs w:val="20"/>
        </w:rPr>
        <w:t xml:space="preserve">Toll Free: 00800 24 26 80 </w:t>
      </w:r>
      <w:proofErr w:type="spellStart"/>
      <w:r w:rsidRPr="00D90369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0</w:t>
      </w:r>
      <w:proofErr w:type="spellEnd"/>
      <w:r w:rsidRPr="00D90369">
        <w:rPr>
          <w:b/>
          <w:sz w:val="20"/>
          <w:szCs w:val="20"/>
        </w:rPr>
        <w:tab/>
      </w:r>
      <w:r w:rsidRPr="00D90369">
        <w:rPr>
          <w:b/>
          <w:sz w:val="20"/>
          <w:szCs w:val="20"/>
        </w:rPr>
        <w:tab/>
      </w:r>
      <w:r w:rsidRPr="00D90369">
        <w:rPr>
          <w:b/>
          <w:sz w:val="20"/>
          <w:szCs w:val="20"/>
        </w:rPr>
        <w:tab/>
      </w:r>
      <w:r w:rsidRPr="00D90369">
        <w:rPr>
          <w:b/>
          <w:sz w:val="20"/>
          <w:szCs w:val="20"/>
        </w:rPr>
        <w:tab/>
      </w:r>
      <w:proofErr w:type="gramStart"/>
      <w:r w:rsidRPr="00D90369">
        <w:rPr>
          <w:bCs/>
          <w:sz w:val="20"/>
          <w:szCs w:val="20"/>
        </w:rPr>
        <w:t xml:space="preserve">Tel </w:t>
      </w:r>
      <w:r>
        <w:rPr>
          <w:bCs/>
          <w:sz w:val="20"/>
          <w:szCs w:val="20"/>
        </w:rPr>
        <w:t>:</w:t>
      </w:r>
      <w:proofErr w:type="gramEnd"/>
      <w:r w:rsidRPr="00D90369">
        <w:rPr>
          <w:bCs/>
          <w:sz w:val="20"/>
          <w:szCs w:val="20"/>
        </w:rPr>
        <w:t xml:space="preserve"> 01.41.19.75.70</w:t>
      </w:r>
    </w:p>
    <w:p w:rsidR="009C634C" w:rsidRPr="00D90369" w:rsidRDefault="00652014" w:rsidP="009C634C">
      <w:pPr>
        <w:pStyle w:val="PR-Body"/>
        <w:ind w:left="900"/>
        <w:rPr>
          <w:sz w:val="20"/>
          <w:szCs w:val="20"/>
        </w:rPr>
      </w:pPr>
      <w:hyperlink r:id="rId6" w:history="1">
        <w:r w:rsidR="009C634C" w:rsidRPr="00465F7A">
          <w:rPr>
            <w:rStyle w:val="Hyperlink"/>
            <w:sz w:val="20"/>
            <w:szCs w:val="20"/>
          </w:rPr>
          <w:t>customercare@advantech.eu</w:t>
        </w:r>
      </w:hyperlink>
      <w:r w:rsidR="009C634C" w:rsidRPr="00D90369">
        <w:rPr>
          <w:sz w:val="20"/>
          <w:szCs w:val="20"/>
        </w:rPr>
        <w:tab/>
      </w:r>
      <w:r w:rsidR="009C634C" w:rsidRPr="00D90369">
        <w:rPr>
          <w:sz w:val="20"/>
          <w:szCs w:val="20"/>
        </w:rPr>
        <w:tab/>
      </w:r>
      <w:r w:rsidR="009C634C" w:rsidRPr="00D90369">
        <w:rPr>
          <w:sz w:val="20"/>
          <w:szCs w:val="20"/>
        </w:rPr>
        <w:tab/>
      </w:r>
      <w:r w:rsidR="009C634C" w:rsidRPr="00D90369">
        <w:rPr>
          <w:sz w:val="20"/>
          <w:szCs w:val="20"/>
        </w:rPr>
        <w:tab/>
      </w:r>
      <w:hyperlink r:id="rId7" w:history="1">
        <w:r w:rsidR="009C634C" w:rsidRPr="00D90369">
          <w:rPr>
            <w:rStyle w:val="Hyperlink"/>
            <w:sz w:val="20"/>
            <w:szCs w:val="20"/>
          </w:rPr>
          <w:t>marielle.severac@advantech.fr</w:t>
        </w:r>
      </w:hyperlink>
    </w:p>
    <w:p w:rsidR="009C634C" w:rsidRPr="00D90369" w:rsidRDefault="009C634C" w:rsidP="009C634C">
      <w:pPr>
        <w:pStyle w:val="PR-Body"/>
        <w:ind w:left="900"/>
        <w:rPr>
          <w:sz w:val="20"/>
          <w:szCs w:val="20"/>
        </w:rPr>
      </w:pPr>
    </w:p>
    <w:p w:rsidR="009C634C" w:rsidRPr="00D90369" w:rsidRDefault="009C634C" w:rsidP="009C634C">
      <w:pPr>
        <w:pStyle w:val="PR-Headline"/>
        <w:snapToGrid w:val="0"/>
        <w:spacing w:before="0"/>
      </w:pPr>
    </w:p>
    <w:p w:rsidR="009C634C" w:rsidRPr="0075227E" w:rsidRDefault="009C634C" w:rsidP="009C634C">
      <w:pPr>
        <w:pStyle w:val="PR-Body"/>
        <w:rPr>
          <w:sz w:val="20"/>
          <w:szCs w:val="20"/>
        </w:rPr>
      </w:pPr>
    </w:p>
    <w:p w:rsidR="00C765FF" w:rsidRDefault="00DD3FE9" w:rsidP="00C765FF">
      <w:pPr>
        <w:snapToGrid w:val="0"/>
        <w:jc w:val="center"/>
        <w:rPr>
          <w:rFonts w:ascii="Arial" w:hAnsi="Arial" w:cs="Arial"/>
          <w:b/>
          <w:sz w:val="36"/>
          <w:szCs w:val="36"/>
          <w:lang w:val="fr-FR"/>
        </w:rPr>
      </w:pPr>
      <w:proofErr w:type="spellStart"/>
      <w:r w:rsidRPr="00C765FF">
        <w:rPr>
          <w:rFonts w:ascii="Arial" w:hAnsi="Arial" w:cs="Arial"/>
          <w:b/>
          <w:sz w:val="36"/>
          <w:szCs w:val="36"/>
          <w:lang w:val="fr-FR"/>
        </w:rPr>
        <w:t>Advantech</w:t>
      </w:r>
      <w:proofErr w:type="spellEnd"/>
      <w:r w:rsidRPr="00C765FF">
        <w:rPr>
          <w:rFonts w:ascii="Arial" w:hAnsi="Arial" w:cs="Arial"/>
          <w:b/>
          <w:sz w:val="36"/>
          <w:szCs w:val="36"/>
          <w:lang w:val="fr-FR"/>
        </w:rPr>
        <w:t xml:space="preserve"> étend sa ligne de terminaux </w:t>
      </w:r>
    </w:p>
    <w:p w:rsidR="00DD3FE9" w:rsidRPr="00C765FF" w:rsidRDefault="00DD3FE9" w:rsidP="00C765FF">
      <w:pPr>
        <w:snapToGrid w:val="0"/>
        <w:jc w:val="center"/>
        <w:rPr>
          <w:rFonts w:ascii="Arial" w:hAnsi="Arial" w:cs="Arial"/>
          <w:b/>
          <w:sz w:val="36"/>
          <w:szCs w:val="36"/>
          <w:lang w:val="fr-FR"/>
        </w:rPr>
      </w:pPr>
      <w:proofErr w:type="gramStart"/>
      <w:r w:rsidRPr="00C765FF">
        <w:rPr>
          <w:rFonts w:ascii="Arial" w:hAnsi="Arial" w:cs="Arial"/>
          <w:b/>
          <w:sz w:val="36"/>
          <w:szCs w:val="36"/>
          <w:lang w:val="fr-FR"/>
        </w:rPr>
        <w:t>pour</w:t>
      </w:r>
      <w:proofErr w:type="gramEnd"/>
      <w:r w:rsidRPr="00C765FF">
        <w:rPr>
          <w:rFonts w:ascii="Arial" w:hAnsi="Arial" w:cs="Arial"/>
          <w:b/>
          <w:sz w:val="36"/>
          <w:szCs w:val="36"/>
          <w:lang w:val="fr-FR"/>
        </w:rPr>
        <w:t xml:space="preserve"> Digital </w:t>
      </w:r>
      <w:proofErr w:type="spellStart"/>
      <w:r w:rsidRPr="00C765FF">
        <w:rPr>
          <w:rFonts w:ascii="Arial" w:hAnsi="Arial" w:cs="Arial"/>
          <w:b/>
          <w:sz w:val="36"/>
          <w:szCs w:val="36"/>
          <w:lang w:val="fr-FR"/>
        </w:rPr>
        <w:t>Signage</w:t>
      </w:r>
      <w:proofErr w:type="spellEnd"/>
      <w:r w:rsidRPr="00C765FF">
        <w:rPr>
          <w:rFonts w:ascii="Arial" w:hAnsi="Arial" w:cs="Arial"/>
          <w:b/>
          <w:sz w:val="36"/>
          <w:szCs w:val="36"/>
          <w:lang w:val="fr-FR"/>
        </w:rPr>
        <w:t xml:space="preserve"> </w:t>
      </w:r>
    </w:p>
    <w:p w:rsidR="00DD3FE9" w:rsidRDefault="00DD3FE9" w:rsidP="00DD3FE9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3D74E8" w:rsidRPr="00C765FF" w:rsidRDefault="003D74E8" w:rsidP="00DD3FE9">
      <w:pPr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</w:p>
    <w:p w:rsidR="00DD3FE9" w:rsidRPr="003D74E8" w:rsidRDefault="00DD3FE9" w:rsidP="00694FA0">
      <w:pPr>
        <w:pStyle w:val="NoSpacing"/>
        <w:snapToGrid w:val="0"/>
        <w:rPr>
          <w:rFonts w:ascii="Arial" w:hAnsi="Arial" w:cs="Arial"/>
          <w:sz w:val="20"/>
          <w:szCs w:val="20"/>
          <w:lang w:val="fr-FR"/>
        </w:rPr>
      </w:pPr>
      <w:r w:rsidRPr="00C765FF">
        <w:rPr>
          <w:rFonts w:ascii="Arial" w:hAnsi="Arial" w:cs="Arial"/>
          <w:b/>
          <w:i/>
          <w:sz w:val="20"/>
          <w:szCs w:val="20"/>
          <w:lang w:val="fr-FR"/>
        </w:rPr>
        <w:t xml:space="preserve">Europe, 2 </w:t>
      </w:r>
      <w:r w:rsidR="002975E3">
        <w:rPr>
          <w:rFonts w:ascii="Arial" w:hAnsi="Arial" w:cs="Arial"/>
          <w:b/>
          <w:i/>
          <w:sz w:val="20"/>
          <w:szCs w:val="20"/>
          <w:lang w:val="fr-FR"/>
        </w:rPr>
        <w:t>avril</w:t>
      </w:r>
      <w:r w:rsidRPr="00C765FF">
        <w:rPr>
          <w:rFonts w:ascii="Arial" w:hAnsi="Arial" w:cs="Arial"/>
          <w:b/>
          <w:i/>
          <w:sz w:val="20"/>
          <w:szCs w:val="20"/>
          <w:lang w:val="fr-FR"/>
        </w:rPr>
        <w:t xml:space="preserve"> 2010</w:t>
      </w:r>
      <w:r w:rsidRPr="003D74E8">
        <w:rPr>
          <w:rFonts w:ascii="Arial" w:hAnsi="Arial" w:cs="Arial"/>
          <w:sz w:val="20"/>
          <w:szCs w:val="20"/>
          <w:lang w:val="fr-FR"/>
        </w:rPr>
        <w:t xml:space="preserve"> –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Advantech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, fournisseur majeur de plates-formes embarquées et de services d’intégration, introduit deux lecteurs complétant son offre en pleine croissance de terminaux pour affichage dynamique (Digital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Signage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). L’ARK-DS303 est une plate-forme économique équipée du processeur Intel®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Atom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>™</w:t>
      </w:r>
      <w:r w:rsidRPr="003D74E8" w:rsidDel="00EB313B">
        <w:rPr>
          <w:rFonts w:ascii="Arial" w:hAnsi="Arial" w:cs="Arial"/>
          <w:sz w:val="20"/>
          <w:szCs w:val="20"/>
          <w:lang w:val="fr-FR"/>
        </w:rPr>
        <w:t xml:space="preserve"> </w:t>
      </w:r>
      <w:r w:rsidRPr="003D74E8">
        <w:rPr>
          <w:rFonts w:ascii="Arial" w:hAnsi="Arial" w:cs="Arial"/>
          <w:sz w:val="20"/>
          <w:szCs w:val="20"/>
          <w:lang w:val="fr-FR"/>
        </w:rPr>
        <w:t xml:space="preserve">N270, qui se positionne sur le segment de valeur du marché avec un prix abordable ; l’ARK-DS350 est un haut de gamme équipé d’un processeur AMD 780 qui intègre un chipset graphique, pour les applications à fort contenu graphique.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Advantech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 destine ces deux produits de rapport coût/performance attractif aux réseaux de digital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signage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 et de publicité dynamique extérieure. </w:t>
      </w:r>
    </w:p>
    <w:p w:rsidR="00694FA0" w:rsidRPr="003D74E8" w:rsidRDefault="00694FA0" w:rsidP="00694FA0">
      <w:pPr>
        <w:pStyle w:val="NoSpacing"/>
        <w:snapToGrid w:val="0"/>
        <w:rPr>
          <w:rFonts w:ascii="Arial" w:hAnsi="Arial" w:cs="Arial"/>
          <w:sz w:val="20"/>
          <w:szCs w:val="20"/>
          <w:lang w:val="fr-FR"/>
        </w:rPr>
      </w:pPr>
    </w:p>
    <w:p w:rsidR="00DD3FE9" w:rsidRDefault="00C765FF" w:rsidP="00694FA0">
      <w:pPr>
        <w:pStyle w:val="BodyText"/>
        <w:widowControl/>
        <w:adjustRightInd w:val="0"/>
        <w:snapToGrid w:val="0"/>
        <w:spacing w:after="0"/>
        <w:rPr>
          <w:rFonts w:ascii="Arial" w:hAnsi="Arial" w:cs="Arial"/>
          <w:b/>
          <w:szCs w:val="20"/>
          <w:lang w:val="fr-FR"/>
        </w:rPr>
      </w:pPr>
      <w:r>
        <w:rPr>
          <w:rFonts w:ascii="Arial" w:hAnsi="Arial" w:cs="Arial"/>
          <w:b/>
          <w:szCs w:val="20"/>
          <w:lang w:val="fr-FR"/>
        </w:rPr>
        <w:t>L’ARK-DS303 : une plate-forme de</w:t>
      </w:r>
      <w:r w:rsidR="00DD3FE9" w:rsidRPr="003D74E8">
        <w:rPr>
          <w:rFonts w:ascii="Arial" w:hAnsi="Arial" w:cs="Arial"/>
          <w:b/>
          <w:szCs w:val="20"/>
          <w:lang w:val="fr-FR"/>
        </w:rPr>
        <w:t xml:space="preserve"> valeur à un prix abordable </w:t>
      </w:r>
    </w:p>
    <w:p w:rsidR="00C765FF" w:rsidRDefault="00C765FF" w:rsidP="00694FA0">
      <w:pPr>
        <w:widowControl/>
        <w:adjustRightInd w:val="0"/>
        <w:snapToGrid w:val="0"/>
        <w:rPr>
          <w:rFonts w:ascii="Arial" w:hAnsi="Arial" w:cs="Arial"/>
          <w:kern w:val="0"/>
          <w:sz w:val="20"/>
          <w:szCs w:val="20"/>
          <w:lang w:val="fr-FR"/>
        </w:rPr>
      </w:pPr>
    </w:p>
    <w:p w:rsidR="00BB5894" w:rsidRDefault="00BB5894" w:rsidP="00694FA0">
      <w:pPr>
        <w:widowControl/>
        <w:adjustRightInd w:val="0"/>
        <w:snapToGrid w:val="0"/>
        <w:rPr>
          <w:rFonts w:ascii="Arial" w:hAnsi="Arial" w:cs="Arial"/>
          <w:kern w:val="0"/>
          <w:sz w:val="20"/>
          <w:szCs w:val="20"/>
          <w:lang w:val="fr-FR"/>
        </w:rPr>
      </w:pPr>
      <w:r>
        <w:rPr>
          <w:rFonts w:ascii="Arial" w:hAnsi="Arial" w:cs="Arial"/>
          <w:noProof/>
          <w:kern w:val="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91440</wp:posOffset>
            </wp:positionV>
            <wp:extent cx="2209800" cy="1457325"/>
            <wp:effectExtent l="19050" t="0" r="19050" b="28575"/>
            <wp:wrapSquare wrapText="bothSides"/>
            <wp:docPr id="28" name="Picture 2" descr="ARK-DS303_3D+antenne_right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K-DS303_3D+antenne_right_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52014" w:rsidRPr="00652014">
        <w:rPr>
          <w:rFonts w:ascii="Arial" w:hAnsi="Arial" w:cs="Arial"/>
          <w:noProof/>
          <w:kern w:val="0"/>
          <w:szCs w:val="20"/>
          <w:lang w:val="fr-FR"/>
        </w:rPr>
        <w:pict>
          <v:rect id="_x0000_s1027" style="position:absolute;margin-left:274.25pt;margin-top:347.25pt;width:191.45pt;height:133.2pt;z-index:251660288;mso-wrap-style:none;mso-position-horizontal-relative:margin;mso-position-vertical-relative:margin" stroked="f">
            <v:textbox style="mso-fit-shape-to-text:t">
              <w:txbxContent>
                <w:p w:rsidR="00DD3FE9" w:rsidRDefault="00DD3FE9" w:rsidP="00DD3FE9"/>
              </w:txbxContent>
            </v:textbox>
            <w10:wrap type="square" anchorx="margin" anchory="margin"/>
          </v:rect>
        </w:pict>
      </w:r>
      <w:r w:rsidR="00DD3FE9" w:rsidRPr="003D74E8">
        <w:rPr>
          <w:rFonts w:ascii="Arial" w:hAnsi="Arial" w:cs="Arial"/>
          <w:kern w:val="0"/>
          <w:sz w:val="20"/>
          <w:szCs w:val="20"/>
          <w:lang w:val="fr-FR"/>
        </w:rPr>
        <w:t>L’ARK-DS303 d’</w:t>
      </w:r>
      <w:proofErr w:type="spellStart"/>
      <w:r w:rsidR="00DD3FE9" w:rsidRPr="003D74E8">
        <w:rPr>
          <w:rFonts w:ascii="Arial" w:hAnsi="Arial" w:cs="Arial"/>
          <w:kern w:val="0"/>
          <w:sz w:val="20"/>
          <w:szCs w:val="20"/>
          <w:lang w:val="fr-FR"/>
        </w:rPr>
        <w:t>Advantech</w:t>
      </w:r>
      <w:proofErr w:type="spellEnd"/>
      <w:r w:rsidR="00DD3FE9" w:rsidRPr="003D74E8">
        <w:rPr>
          <w:rFonts w:ascii="Arial" w:hAnsi="Arial" w:cs="Arial"/>
          <w:kern w:val="0"/>
          <w:sz w:val="20"/>
          <w:szCs w:val="20"/>
          <w:lang w:val="fr-FR"/>
        </w:rPr>
        <w:t xml:space="preserve"> est un lecteur de contenu d’affichage dynamique compact, peu gourmand en énergie, sans ventilateur et de faible coût, utilisant le chipset 945GSE d’Intel avec le processeur </w:t>
      </w:r>
      <w:proofErr w:type="spellStart"/>
      <w:r w:rsidR="00DD3FE9" w:rsidRPr="003D74E8">
        <w:rPr>
          <w:rFonts w:ascii="Arial" w:hAnsi="Arial" w:cs="Arial"/>
          <w:kern w:val="0"/>
          <w:sz w:val="20"/>
          <w:szCs w:val="20"/>
          <w:lang w:val="fr-FR"/>
        </w:rPr>
        <w:t>Atom</w:t>
      </w:r>
      <w:proofErr w:type="spellEnd"/>
      <w:r w:rsidR="00DD3FE9" w:rsidRPr="003D74E8">
        <w:rPr>
          <w:rFonts w:ascii="Arial" w:hAnsi="Arial" w:cs="Arial"/>
          <w:kern w:val="0"/>
          <w:sz w:val="20"/>
          <w:szCs w:val="20"/>
          <w:lang w:val="fr-FR"/>
        </w:rPr>
        <w:t xml:space="preserve"> N270. Il supporte la vidéo haute définition 720p grâce au décodeur MPEG-2 intégré dans le chipset 945GSE, et sa consommation remarquablement faible est d’environ 7 watts. Pour les applications exigeant de rejouer des vidéos </w:t>
      </w:r>
      <w:proofErr w:type="gramStart"/>
      <w:r w:rsidR="00DD3FE9" w:rsidRPr="003D74E8">
        <w:rPr>
          <w:rFonts w:ascii="Arial" w:hAnsi="Arial" w:cs="Arial"/>
          <w:kern w:val="0"/>
          <w:sz w:val="20"/>
          <w:szCs w:val="20"/>
          <w:lang w:val="fr-FR"/>
        </w:rPr>
        <w:t>full</w:t>
      </w:r>
      <w:proofErr w:type="gramEnd"/>
      <w:r w:rsidR="00DD3FE9" w:rsidRPr="003D74E8">
        <w:rPr>
          <w:rFonts w:ascii="Arial" w:hAnsi="Arial" w:cs="Arial"/>
          <w:kern w:val="0"/>
          <w:sz w:val="20"/>
          <w:szCs w:val="20"/>
          <w:lang w:val="fr-FR"/>
        </w:rPr>
        <w:t xml:space="preserve"> HD 1080p, un accélérateur HD optionnel de </w:t>
      </w:r>
      <w:proofErr w:type="spellStart"/>
      <w:r w:rsidR="00DD3FE9" w:rsidRPr="003D74E8">
        <w:rPr>
          <w:rFonts w:ascii="Arial" w:hAnsi="Arial" w:cs="Arial"/>
          <w:sz w:val="20"/>
          <w:szCs w:val="20"/>
          <w:lang w:val="fr-FR"/>
        </w:rPr>
        <w:t>Broadcom</w:t>
      </w:r>
      <w:proofErr w:type="spellEnd"/>
      <w:r w:rsidR="00DD3FE9" w:rsidRPr="003D74E8">
        <w:rPr>
          <w:rFonts w:ascii="Arial" w:hAnsi="Arial" w:cs="Arial"/>
          <w:sz w:val="20"/>
          <w:szCs w:val="20"/>
          <w:lang w:val="fr-FR"/>
        </w:rPr>
        <w:t xml:space="preserve"> peut être intégré au lecteur ARK-DS303 via son emplacement </w:t>
      </w:r>
      <w:proofErr w:type="spellStart"/>
      <w:r w:rsidR="00DD3FE9" w:rsidRPr="003D74E8">
        <w:rPr>
          <w:rFonts w:ascii="Arial" w:hAnsi="Arial" w:cs="Arial"/>
          <w:kern w:val="0"/>
          <w:sz w:val="20"/>
          <w:szCs w:val="20"/>
          <w:lang w:val="fr-FR"/>
        </w:rPr>
        <w:t>miniPCIe</w:t>
      </w:r>
      <w:proofErr w:type="spellEnd"/>
      <w:r w:rsidR="00DD3FE9" w:rsidRPr="003D74E8">
        <w:rPr>
          <w:rFonts w:ascii="Arial" w:hAnsi="Arial" w:cs="Arial"/>
          <w:kern w:val="0"/>
          <w:sz w:val="20"/>
          <w:szCs w:val="20"/>
          <w:lang w:val="fr-FR"/>
        </w:rPr>
        <w:t>. L’ARK-DS303 supporte une double sortie de contenu via les ports HDMI et VGA, et dispose d’un nombre suffisant d’interfaces d’E/S pour assurer une connectique</w:t>
      </w:r>
    </w:p>
    <w:p w:rsidR="00DD3FE9" w:rsidRPr="003D74E8" w:rsidRDefault="00DD3FE9" w:rsidP="00694FA0">
      <w:pPr>
        <w:widowControl/>
        <w:adjustRightInd w:val="0"/>
        <w:snapToGrid w:val="0"/>
        <w:rPr>
          <w:rFonts w:ascii="Arial" w:hAnsi="Arial" w:cs="Arial"/>
          <w:kern w:val="0"/>
          <w:sz w:val="20"/>
          <w:szCs w:val="20"/>
          <w:lang w:val="fr-FR"/>
        </w:rPr>
      </w:pPr>
      <w:proofErr w:type="gramStart"/>
      <w:r w:rsidRPr="003D74E8">
        <w:rPr>
          <w:rFonts w:ascii="Arial" w:hAnsi="Arial" w:cs="Arial"/>
          <w:kern w:val="0"/>
          <w:sz w:val="20"/>
          <w:szCs w:val="20"/>
          <w:lang w:val="fr-FR"/>
        </w:rPr>
        <w:t>de</w:t>
      </w:r>
      <w:proofErr w:type="gramEnd"/>
      <w:r w:rsidRPr="003D74E8">
        <w:rPr>
          <w:rFonts w:ascii="Arial" w:hAnsi="Arial" w:cs="Arial"/>
          <w:kern w:val="0"/>
          <w:sz w:val="20"/>
          <w:szCs w:val="20"/>
          <w:lang w:val="fr-FR"/>
        </w:rPr>
        <w:t xml:space="preserve"> périphériques cor</w:t>
      </w:r>
      <w:r w:rsidR="00C765FF">
        <w:rPr>
          <w:rFonts w:ascii="Arial" w:hAnsi="Arial" w:cs="Arial"/>
          <w:kern w:val="0"/>
          <w:sz w:val="20"/>
          <w:szCs w:val="20"/>
          <w:lang w:val="fr-FR"/>
        </w:rPr>
        <w:t>recte (</w:t>
      </w:r>
      <w:r w:rsidRPr="003D74E8">
        <w:rPr>
          <w:rFonts w:ascii="Arial" w:hAnsi="Arial" w:cs="Arial"/>
          <w:kern w:val="0"/>
          <w:sz w:val="20"/>
          <w:szCs w:val="20"/>
          <w:lang w:val="fr-FR"/>
        </w:rPr>
        <w:t xml:space="preserve">4 ports USB 2.0 et 1 port COM). </w:t>
      </w:r>
    </w:p>
    <w:p w:rsidR="00DD3FE9" w:rsidRPr="003D74E8" w:rsidRDefault="00DD3FE9" w:rsidP="00694FA0">
      <w:pPr>
        <w:widowControl/>
        <w:adjustRightInd w:val="0"/>
        <w:snapToGrid w:val="0"/>
        <w:rPr>
          <w:rFonts w:ascii="Arial" w:hAnsi="Arial" w:cs="Arial"/>
          <w:kern w:val="0"/>
          <w:sz w:val="20"/>
          <w:szCs w:val="20"/>
          <w:lang w:val="fr-FR"/>
        </w:rPr>
      </w:pPr>
    </w:p>
    <w:p w:rsidR="00DD3FE9" w:rsidRPr="003D74E8" w:rsidRDefault="00DD3FE9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  <w:r w:rsidRPr="003D74E8">
        <w:rPr>
          <w:rFonts w:ascii="Arial" w:hAnsi="Arial" w:cs="Arial"/>
          <w:sz w:val="20"/>
          <w:szCs w:val="20"/>
          <w:lang w:val="fr-FR"/>
        </w:rPr>
        <w:t xml:space="preserve">L’ARK-DS303 est un système complet disposant de 1 Go de mémoire DDR2 et de 160 Go de disque dur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pré-installé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. Une option à disque vierge est également disponible. </w:t>
      </w:r>
      <w:r w:rsidRPr="003D74E8">
        <w:rPr>
          <w:rFonts w:ascii="Arial" w:hAnsi="Arial" w:cs="Arial"/>
          <w:kern w:val="0"/>
          <w:sz w:val="20"/>
          <w:szCs w:val="20"/>
          <w:lang w:val="fr-FR"/>
        </w:rPr>
        <w:t xml:space="preserve">Des connecteurs d’antenne pour réseaux WLAN et WAN (GSM/HSPDA) sont réservés. </w:t>
      </w:r>
      <w:r w:rsidRPr="003D74E8">
        <w:rPr>
          <w:rFonts w:ascii="Arial" w:hAnsi="Arial" w:cs="Arial"/>
          <w:sz w:val="20"/>
          <w:szCs w:val="20"/>
          <w:lang w:val="fr-FR"/>
        </w:rPr>
        <w:t xml:space="preserve">Pour les applications de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signage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, la possibilité de diffuser des programmes TV, des journaux d’information temps réel ou des programmes de divertissement est essentielle. Pour répondre à cette demande, il est possible de fixer un module tuner TV additionnel sur le côté de l’ARK-DS303 ; l’emplacement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miniPCIe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 à bord peut être réservé à un module de décodage HD ou à un module WLAN. Un support de montage VESA permet d’installer facilement l’ARK-DS303 à l’arrière d’un écran LCD.</w:t>
      </w:r>
    </w:p>
    <w:p w:rsidR="003D74E8" w:rsidRPr="00C765FF" w:rsidRDefault="003D74E8" w:rsidP="00694FA0">
      <w:pPr>
        <w:widowControl/>
        <w:tabs>
          <w:tab w:val="left" w:pos="7020"/>
        </w:tabs>
        <w:adjustRightInd w:val="0"/>
        <w:snapToGrid w:val="0"/>
        <w:rPr>
          <w:rFonts w:ascii="Arial" w:hAnsi="Arial" w:cs="Arial"/>
          <w:sz w:val="12"/>
          <w:szCs w:val="20"/>
          <w:lang w:val="fr-FR"/>
        </w:rPr>
      </w:pPr>
    </w:p>
    <w:p w:rsidR="00DD3FE9" w:rsidRPr="003D74E8" w:rsidRDefault="00652014" w:rsidP="003D74E8">
      <w:pPr>
        <w:widowControl/>
        <w:tabs>
          <w:tab w:val="left" w:pos="7020"/>
        </w:tabs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  <w:r w:rsidRPr="00652014">
        <w:rPr>
          <w:rFonts w:ascii="Arial" w:hAnsi="Arial" w:cs="Arial"/>
          <w:noProof/>
          <w:sz w:val="20"/>
          <w:szCs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9.6pt;margin-top:102.25pt;width:194.8pt;height:24.75pt;z-index:251663360" stroked="f">
            <v:textbox>
              <w:txbxContent>
                <w:p w:rsidR="00DD3FE9" w:rsidRPr="00344CC3" w:rsidRDefault="00DD3FE9" w:rsidP="00C765FF">
                  <w:pPr>
                    <w:adjustRightInd w:val="0"/>
                    <w:snapToGrid w:val="0"/>
                    <w:rPr>
                      <w:rFonts w:ascii="Calibri" w:hAnsi="Calibri"/>
                      <w:b/>
                      <w:sz w:val="20"/>
                      <w:lang w:val="fr-FR"/>
                    </w:rPr>
                  </w:pPr>
                  <w:r w:rsidRPr="00344CC3">
                    <w:rPr>
                      <w:rFonts w:ascii="Calibri" w:hAnsi="Calibri"/>
                      <w:b/>
                      <w:sz w:val="20"/>
                      <w:lang w:val="fr-FR"/>
                    </w:rPr>
                    <w:t xml:space="preserve">Support de montage </w:t>
                  </w:r>
                  <w:r w:rsidRPr="00344CC3">
                    <w:rPr>
                      <w:rFonts w:ascii="Calibri" w:hAnsi="Calibri" w:hint="eastAsia"/>
                      <w:b/>
                      <w:sz w:val="20"/>
                      <w:lang w:val="fr-FR"/>
                    </w:rPr>
                    <w:t xml:space="preserve">VESA </w:t>
                  </w:r>
                  <w:r w:rsidRPr="00344CC3">
                    <w:rPr>
                      <w:rFonts w:ascii="Calibri" w:hAnsi="Calibri"/>
                      <w:b/>
                      <w:sz w:val="20"/>
                      <w:lang w:val="fr-FR"/>
                    </w:rPr>
                    <w:t>avec adaptateur</w:t>
                  </w:r>
                </w:p>
              </w:txbxContent>
            </v:textbox>
          </v:shape>
        </w:pict>
      </w:r>
      <w:r w:rsidRPr="00652014">
        <w:rPr>
          <w:rFonts w:ascii="Arial" w:hAnsi="Arial" w:cs="Arial"/>
          <w:noProof/>
          <w:sz w:val="20"/>
          <w:szCs w:val="20"/>
          <w:lang w:val="fr-FR"/>
        </w:rPr>
        <w:pict>
          <v:shape id="_x0000_s1028" type="#_x0000_t202" style="position:absolute;margin-left:-5.8pt;margin-top:100.75pt;width:150.9pt;height:18pt;z-index:251659263" stroked="f">
            <v:textbox style="mso-next-textbox:#_x0000_s1028">
              <w:txbxContent>
                <w:p w:rsidR="00DD3FE9" w:rsidRPr="005B43F7" w:rsidRDefault="00DD3FE9" w:rsidP="00C765FF">
                  <w:pPr>
                    <w:snapToGrid w:val="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Module tuner TV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externe</w:t>
                  </w:r>
                  <w:proofErr w:type="spellEnd"/>
                </w:p>
              </w:txbxContent>
            </v:textbox>
          </v:shape>
        </w:pict>
      </w:r>
      <w:r w:rsidR="003D74E8">
        <w:rPr>
          <w:noProof/>
        </w:rPr>
        <w:drawing>
          <wp:inline distT="0" distB="0" distL="0" distR="0">
            <wp:extent cx="1781175" cy="1247775"/>
            <wp:effectExtent l="19050" t="0" r="28575" b="47625"/>
            <wp:docPr id="8" name="Picture 5" descr="DSC0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4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6796" dir="3806097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D74E8">
        <w:rPr>
          <w:rFonts w:ascii="Arial" w:hAnsi="Arial" w:cs="Arial"/>
          <w:sz w:val="20"/>
          <w:szCs w:val="20"/>
          <w:lang w:val="fr-FR"/>
        </w:rPr>
        <w:t xml:space="preserve">  </w:t>
      </w:r>
      <w:r w:rsidR="003D74E8">
        <w:rPr>
          <w:noProof/>
        </w:rPr>
        <w:drawing>
          <wp:inline distT="0" distB="0" distL="0" distR="0">
            <wp:extent cx="1781175" cy="1238250"/>
            <wp:effectExtent l="19050" t="0" r="28575" b="19050"/>
            <wp:docPr id="13" name="Picture 4" descr="DSC0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4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3378596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D74E8">
        <w:rPr>
          <w:rFonts w:ascii="Arial" w:hAnsi="Arial" w:cs="Arial"/>
          <w:sz w:val="20"/>
          <w:szCs w:val="20"/>
          <w:lang w:val="fr-FR"/>
        </w:rPr>
        <w:t xml:space="preserve">  </w:t>
      </w:r>
      <w:r w:rsidR="003D74E8">
        <w:rPr>
          <w:noProof/>
        </w:rPr>
        <w:drawing>
          <wp:inline distT="0" distB="0" distL="0" distR="0">
            <wp:extent cx="1800225" cy="1209675"/>
            <wp:effectExtent l="19050" t="0" r="28575" b="47625"/>
            <wp:docPr id="14" name="Picture 3" descr="DSC0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47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225" b="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6796" dir="3806097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52014">
        <w:rPr>
          <w:rFonts w:ascii="Arial" w:hAnsi="Arial" w:cs="Arial"/>
          <w:noProof/>
          <w:sz w:val="20"/>
          <w:szCs w:val="20"/>
          <w:lang w:val="fr-FR"/>
        </w:rPr>
        <w:pict>
          <v:shape id="_x0000_s1029" type="#_x0000_t202" style="position:absolute;margin-left:167.8pt;margin-top:5.4pt;width:154.8pt;height:115.2pt;z-index:251662336;mso-wrap-style:none;mso-position-horizontal-relative:text;mso-position-vertical-relative:text" filled="f" stroked="f">
            <v:textbox style="mso-next-textbox:#_x0000_s1029;mso-fit-shape-to-text:t">
              <w:txbxContent>
                <w:p w:rsidR="00DD3FE9" w:rsidRDefault="00DD3FE9" w:rsidP="00DD3FE9"/>
              </w:txbxContent>
            </v:textbox>
          </v:shape>
        </w:pict>
      </w:r>
    </w:p>
    <w:p w:rsidR="003D74E8" w:rsidRDefault="003D74E8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</w:p>
    <w:p w:rsidR="003D74E8" w:rsidRDefault="003D74E8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</w:p>
    <w:p w:rsidR="003D74E8" w:rsidRDefault="003D74E8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</w:p>
    <w:p w:rsidR="00DD3FE9" w:rsidRDefault="00DD3FE9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  <w:r w:rsidRPr="003D74E8">
        <w:rPr>
          <w:rFonts w:ascii="Arial" w:hAnsi="Arial" w:cs="Arial"/>
          <w:sz w:val="20"/>
          <w:szCs w:val="20"/>
          <w:lang w:val="fr-FR"/>
        </w:rPr>
        <w:t>Contrairement aux produits clients léger</w:t>
      </w:r>
      <w:r w:rsidR="00C765FF">
        <w:rPr>
          <w:rFonts w:ascii="Arial" w:hAnsi="Arial" w:cs="Arial"/>
          <w:sz w:val="20"/>
          <w:szCs w:val="20"/>
          <w:lang w:val="fr-FR"/>
        </w:rPr>
        <w:t>s grand public sur étagères, l’</w:t>
      </w:r>
      <w:r w:rsidRPr="003D74E8">
        <w:rPr>
          <w:rFonts w:ascii="Arial" w:hAnsi="Arial" w:cs="Arial"/>
          <w:sz w:val="20"/>
          <w:szCs w:val="20"/>
          <w:lang w:val="fr-FR"/>
        </w:rPr>
        <w:t>ARK-DS303 d’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Advantech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 permet des réglages de BIOS spécifiques de l’affichage dynamique, du type Wake-on-LAN (redémarrage à distance) ou redémarrage après une panne d’alimentation. Le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timer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 chien de garde intégré permet un taux de fonctionnement approchant 100%, et la fonction de protection EWF aide à récupérer le système après un problème de type « fatal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error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 » ou un arrêt système. </w:t>
      </w:r>
    </w:p>
    <w:p w:rsidR="003D74E8" w:rsidRDefault="003D74E8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</w:p>
    <w:p w:rsidR="00980FC6" w:rsidRDefault="00980FC6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</w:p>
    <w:p w:rsidR="00091A2B" w:rsidRPr="003D74E8" w:rsidRDefault="00091A2B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</w:p>
    <w:p w:rsidR="00DD3FE9" w:rsidRPr="003D74E8" w:rsidRDefault="00DD3FE9" w:rsidP="00694FA0">
      <w:pPr>
        <w:pStyle w:val="BodyText"/>
        <w:widowControl/>
        <w:adjustRightInd w:val="0"/>
        <w:snapToGrid w:val="0"/>
        <w:spacing w:after="0"/>
        <w:rPr>
          <w:rFonts w:ascii="Arial" w:hAnsi="Arial" w:cs="Arial"/>
          <w:szCs w:val="20"/>
          <w:lang w:val="fr-FR"/>
        </w:rPr>
      </w:pPr>
      <w:r w:rsidRPr="003D74E8">
        <w:rPr>
          <w:rFonts w:ascii="Arial" w:hAnsi="Arial" w:cs="Arial"/>
          <w:b/>
          <w:szCs w:val="20"/>
          <w:lang w:val="fr-FR"/>
        </w:rPr>
        <w:t>L’ARK-DS350 : une plate-forme graphique avancée</w:t>
      </w:r>
    </w:p>
    <w:p w:rsidR="00BB5894" w:rsidRDefault="00BB5894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62865</wp:posOffset>
            </wp:positionV>
            <wp:extent cx="2209800" cy="1466850"/>
            <wp:effectExtent l="19050" t="0" r="38100" b="19050"/>
            <wp:wrapSquare wrapText="bothSides"/>
            <wp:docPr id="25" name="Picture 6" descr="ARK-DS350_3D_left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K-DS350_3D_left_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3882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D3FE9" w:rsidRPr="003D74E8" w:rsidRDefault="00DD3FE9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  <w:r w:rsidRPr="003D74E8">
        <w:rPr>
          <w:rFonts w:ascii="Arial" w:hAnsi="Arial" w:cs="Arial"/>
          <w:sz w:val="20"/>
          <w:szCs w:val="20"/>
          <w:lang w:val="fr-FR"/>
        </w:rPr>
        <w:t>L’ARK-DS350 d’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Advantech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 est une plate-forme avancée pour digital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signage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 équipée de l’AMD-780 et du chipset graphique ATI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Radeon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>™ HD 3200. Le jeu de circuits discrets accélère la vidéo via un décodeur hardware unifié pour flux H.264, VC-1 et MPEG 2. Il offre ainsi une lecture vidéo full HD très fluide et des transitions d’images précises. Cette plate-forme est parfaite pour les application</w:t>
      </w:r>
      <w:r w:rsidR="00BB5894">
        <w:rPr>
          <w:rFonts w:ascii="Arial" w:hAnsi="Arial" w:cs="Arial"/>
          <w:sz w:val="20"/>
          <w:szCs w:val="20"/>
          <w:lang w:val="fr-FR"/>
        </w:rPr>
        <w:t>s</w:t>
      </w:r>
      <w:r w:rsidRPr="003D74E8">
        <w:rPr>
          <w:rFonts w:ascii="Arial" w:hAnsi="Arial" w:cs="Arial"/>
          <w:sz w:val="20"/>
          <w:szCs w:val="20"/>
          <w:lang w:val="fr-FR"/>
        </w:rPr>
        <w:t xml:space="preserve"> d’affichage dynamique où une vision nette et frappante du contenu multimédia est fondamentale pour l’impact visuel.  </w:t>
      </w:r>
    </w:p>
    <w:p w:rsidR="00DD3FE9" w:rsidRPr="003D74E8" w:rsidRDefault="00DD3FE9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</w:p>
    <w:p w:rsidR="00DD3FE9" w:rsidRPr="003D74E8" w:rsidRDefault="00DD3FE9" w:rsidP="00694FA0">
      <w:pPr>
        <w:widowControl/>
        <w:adjustRightInd w:val="0"/>
        <w:snapToGrid w:val="0"/>
        <w:rPr>
          <w:rFonts w:ascii="Arial" w:hAnsi="Arial" w:cs="Arial"/>
          <w:sz w:val="20"/>
          <w:szCs w:val="20"/>
          <w:lang w:val="fr-FR"/>
        </w:rPr>
      </w:pPr>
      <w:r w:rsidRPr="003D74E8">
        <w:rPr>
          <w:rFonts w:ascii="Arial" w:hAnsi="Arial" w:cs="Arial"/>
          <w:sz w:val="20"/>
          <w:szCs w:val="20"/>
          <w:lang w:val="fr-FR"/>
        </w:rPr>
        <w:t xml:space="preserve">L’ARK-DS350 existe en deux niveaux de performance : une version à processeur double cœur AMD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Athlon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>™</w:t>
      </w:r>
      <w:r w:rsidRPr="003D74E8" w:rsidDel="006967A6">
        <w:rPr>
          <w:rFonts w:ascii="Arial" w:hAnsi="Arial" w:cs="Arial"/>
          <w:sz w:val="20"/>
          <w:szCs w:val="20"/>
          <w:lang w:val="fr-FR"/>
        </w:rPr>
        <w:t xml:space="preserve"> </w:t>
      </w:r>
      <w:r w:rsidRPr="003D74E8">
        <w:rPr>
          <w:rFonts w:ascii="Arial" w:hAnsi="Arial" w:cs="Arial"/>
          <w:sz w:val="20"/>
          <w:szCs w:val="20"/>
          <w:lang w:val="fr-FR"/>
        </w:rPr>
        <w:t xml:space="preserve">X2 et une version à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monocœur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 AMD </w:t>
      </w:r>
      <w:proofErr w:type="spellStart"/>
      <w:r w:rsidRPr="003D74E8">
        <w:rPr>
          <w:rFonts w:ascii="Arial" w:hAnsi="Arial" w:cs="Arial"/>
          <w:sz w:val="20"/>
          <w:szCs w:val="20"/>
          <w:lang w:val="fr-FR"/>
        </w:rPr>
        <w:t>Athlon</w:t>
      </w:r>
      <w:proofErr w:type="spellEnd"/>
      <w:r w:rsidRPr="003D74E8">
        <w:rPr>
          <w:rFonts w:ascii="Arial" w:hAnsi="Arial" w:cs="Arial"/>
          <w:sz w:val="20"/>
          <w:szCs w:val="20"/>
          <w:lang w:val="fr-FR"/>
        </w:rPr>
        <w:t xml:space="preserve"> de plus faible consommation. Cette solution offre à partir d’un même design un large éventail de niveaux de performance et de consommation. L’ARK-DS-350 fournit une performance de pointe pour les sorties HD 1080p et supporte un double canal vidéo HDMI et VGA. De plus, l’ARK-350 est relativement compact, de bas profil et léger, et peut aisément s’installer derrière un écran LCD de grande taille. Ce modèle ventilé exploite une technologie de contrôle « smart fan » assurant un fonctionnement</w:t>
      </w:r>
      <w:r w:rsidR="00BB5894">
        <w:rPr>
          <w:rFonts w:ascii="Arial" w:hAnsi="Arial" w:cs="Arial"/>
          <w:sz w:val="20"/>
          <w:szCs w:val="20"/>
          <w:lang w:val="fr-FR"/>
        </w:rPr>
        <w:t xml:space="preserve"> </w:t>
      </w:r>
      <w:r w:rsidRPr="003D74E8">
        <w:rPr>
          <w:rFonts w:ascii="Arial" w:hAnsi="Arial" w:cs="Arial"/>
          <w:sz w:val="20"/>
          <w:szCs w:val="20"/>
          <w:lang w:val="fr-FR"/>
        </w:rPr>
        <w:t xml:space="preserve">silencieux. </w:t>
      </w:r>
    </w:p>
    <w:p w:rsidR="00DD3FE9" w:rsidRPr="003D74E8" w:rsidRDefault="00DD3FE9" w:rsidP="00694FA0">
      <w:pPr>
        <w:widowControl/>
        <w:adjustRightInd w:val="0"/>
        <w:snapToGrid w:val="0"/>
        <w:rPr>
          <w:rFonts w:ascii="Arial" w:hAnsi="Arial" w:cs="Arial"/>
          <w:b/>
          <w:sz w:val="20"/>
          <w:szCs w:val="20"/>
          <w:lang w:val="fr-FR"/>
        </w:rPr>
      </w:pPr>
    </w:p>
    <w:p w:rsidR="00BB5894" w:rsidRDefault="00BB5894" w:rsidP="00694FA0">
      <w:pPr>
        <w:widowControl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  <w:lang w:val="fr-FR"/>
        </w:rPr>
      </w:pPr>
    </w:p>
    <w:p w:rsidR="00BB5894" w:rsidRDefault="00BB5894" w:rsidP="00694FA0">
      <w:pPr>
        <w:widowControl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  <w:lang w:val="fr-FR"/>
        </w:rPr>
      </w:pPr>
    </w:p>
    <w:p w:rsidR="00980FC6" w:rsidRDefault="00980FC6" w:rsidP="00694FA0">
      <w:pPr>
        <w:widowControl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  <w:lang w:val="fr-FR"/>
        </w:rPr>
      </w:pPr>
    </w:p>
    <w:p w:rsidR="00BB5894" w:rsidRDefault="00BB5894" w:rsidP="00694FA0">
      <w:pPr>
        <w:widowControl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  <w:lang w:val="fr-FR"/>
        </w:rPr>
      </w:pPr>
    </w:p>
    <w:p w:rsidR="009C634C" w:rsidRPr="00BB5894" w:rsidRDefault="009C634C" w:rsidP="00694FA0">
      <w:pPr>
        <w:widowControl/>
        <w:adjustRightInd w:val="0"/>
        <w:snapToGrid w:val="0"/>
        <w:rPr>
          <w:rFonts w:ascii="Arial" w:hAnsi="Arial" w:cs="Arial"/>
          <w:bCs/>
          <w:sz w:val="18"/>
          <w:szCs w:val="20"/>
          <w:lang w:val="fr-FR"/>
        </w:rPr>
      </w:pPr>
      <w:proofErr w:type="spellStart"/>
      <w:r w:rsidRPr="003D74E8">
        <w:rPr>
          <w:rFonts w:ascii="Arial" w:hAnsi="Arial" w:cs="Arial"/>
          <w:b/>
          <w:color w:val="000000"/>
          <w:kern w:val="0"/>
          <w:sz w:val="20"/>
          <w:szCs w:val="20"/>
          <w:lang w:val="fr-FR"/>
        </w:rPr>
        <w:t>Advantech</w:t>
      </w:r>
      <w:proofErr w:type="spellEnd"/>
      <w:r w:rsidRPr="003D74E8">
        <w:rPr>
          <w:rFonts w:ascii="Arial" w:hAnsi="Arial" w:cs="Arial"/>
          <w:b/>
          <w:color w:val="000000"/>
          <w:kern w:val="0"/>
          <w:sz w:val="20"/>
          <w:szCs w:val="20"/>
          <w:lang w:val="fr-FR"/>
        </w:rPr>
        <w:t xml:space="preserve"> Co., Ltd. </w:t>
      </w:r>
      <w:r w:rsidRPr="00BB5894">
        <w:rPr>
          <w:rFonts w:ascii="Arial" w:hAnsi="Arial" w:cs="Arial"/>
          <w:sz w:val="18"/>
          <w:szCs w:val="20"/>
          <w:lang w:val="fr-FR"/>
        </w:rPr>
        <w:t xml:space="preserve">Fondée en 1983, la société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Advantech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est le leader mondial de solutions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ePlatform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avec des solutions hardware et software mais également un service sur mesure.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Advantech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propose plus de 1000 produits et solutions parmi 3 grandes gammes: Embedded &amp;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Industrial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Computing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,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eServices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&amp;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Applied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Computing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et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Industrial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Automation. Reposant sur l’expertise de plus de 3400 personnes,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Advantech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déploie un important réseau de vente et de marketing dans 18 pays et 39 grandes villes pour un service «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Fast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>-Time-to-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market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» aux clients du monde entier. </w:t>
      </w:r>
      <w:proofErr w:type="spellStart"/>
      <w:r w:rsidRPr="00BB5894">
        <w:rPr>
          <w:rFonts w:ascii="Arial" w:hAnsi="Arial" w:cs="Arial"/>
          <w:sz w:val="18"/>
          <w:szCs w:val="20"/>
          <w:lang w:val="fr-FR"/>
        </w:rPr>
        <w:t>Advantech</w:t>
      </w:r>
      <w:proofErr w:type="spellEnd"/>
      <w:r w:rsidRPr="00BB5894">
        <w:rPr>
          <w:rFonts w:ascii="Arial" w:hAnsi="Arial" w:cs="Arial"/>
          <w:sz w:val="18"/>
          <w:szCs w:val="20"/>
          <w:lang w:val="fr-FR"/>
        </w:rPr>
        <w:t xml:space="preserve"> est un </w:t>
      </w:r>
      <w:r w:rsidRPr="00BB5894">
        <w:rPr>
          <w:rFonts w:ascii="Arial" w:hAnsi="Arial" w:cs="Arial"/>
          <w:b/>
          <w:sz w:val="18"/>
          <w:szCs w:val="20"/>
          <w:lang w:val="fr-FR"/>
        </w:rPr>
        <w:t>membre Premier du programme Intel® Embedded and Communications Alliance</w:t>
      </w:r>
      <w:r w:rsidRPr="00BB5894">
        <w:rPr>
          <w:rFonts w:ascii="Arial" w:hAnsi="Arial" w:cs="Arial"/>
          <w:sz w:val="18"/>
          <w:szCs w:val="20"/>
          <w:lang w:val="fr-FR"/>
        </w:rPr>
        <w:t>, qui regroupe les sociétés fournissant des solutions informatiques matérielles et logicielles ainsi qu’un support sur les activités embarquées d’Intel®</w:t>
      </w:r>
      <w:proofErr w:type="gramStart"/>
      <w:r w:rsidRPr="00BB5894">
        <w:rPr>
          <w:rFonts w:ascii="Arial" w:hAnsi="Arial" w:cs="Arial"/>
          <w:sz w:val="18"/>
          <w:szCs w:val="20"/>
          <w:lang w:val="fr-FR"/>
        </w:rPr>
        <w:t>.</w:t>
      </w:r>
      <w:r w:rsidRPr="00BB5894">
        <w:rPr>
          <w:rStyle w:val="PR-AboutAdvChar"/>
          <w:bCs/>
          <w:sz w:val="18"/>
          <w:szCs w:val="20"/>
          <w:lang w:val="fr-FR"/>
        </w:rPr>
        <w:t>(</w:t>
      </w:r>
      <w:proofErr w:type="gramEnd"/>
      <w:r w:rsidRPr="00BB5894">
        <w:rPr>
          <w:rStyle w:val="PR-AboutAdvChar"/>
          <w:bCs/>
          <w:sz w:val="18"/>
          <w:szCs w:val="20"/>
          <w:lang w:val="fr-FR"/>
        </w:rPr>
        <w:t xml:space="preserve">Site web: </w:t>
      </w:r>
      <w:hyperlink r:id="rId13" w:history="1">
        <w:r w:rsidRPr="00BB5894">
          <w:rPr>
            <w:rStyle w:val="Hyperlink"/>
            <w:rFonts w:ascii="Arial" w:hAnsi="Arial" w:cs="Arial"/>
            <w:bCs/>
            <w:sz w:val="18"/>
            <w:szCs w:val="20"/>
            <w:lang w:val="fr-FR"/>
          </w:rPr>
          <w:t>www.advantech.eu</w:t>
        </w:r>
      </w:hyperlink>
      <w:r w:rsidRPr="00BB5894">
        <w:rPr>
          <w:rFonts w:ascii="Arial" w:hAnsi="Arial" w:cs="Arial"/>
          <w:bCs/>
          <w:sz w:val="18"/>
          <w:szCs w:val="20"/>
          <w:lang w:val="fr-FR"/>
        </w:rPr>
        <w:t>)</w:t>
      </w:r>
    </w:p>
    <w:p w:rsidR="003C43D3" w:rsidRPr="00BB5894" w:rsidRDefault="003C43D3" w:rsidP="00694FA0">
      <w:pPr>
        <w:pStyle w:val="PR-Body"/>
        <w:adjustRightInd w:val="0"/>
        <w:rPr>
          <w:b/>
          <w:sz w:val="18"/>
          <w:szCs w:val="20"/>
          <w:lang w:val="fr-FR"/>
        </w:rPr>
      </w:pPr>
    </w:p>
    <w:p w:rsidR="009C634C" w:rsidRPr="003D74E8" w:rsidRDefault="009C634C" w:rsidP="00694FA0">
      <w:pPr>
        <w:pStyle w:val="PR-Body"/>
        <w:adjustRightInd w:val="0"/>
        <w:rPr>
          <w:b/>
          <w:sz w:val="20"/>
          <w:szCs w:val="20"/>
          <w:lang w:val="fr-FR"/>
        </w:rPr>
      </w:pPr>
    </w:p>
    <w:p w:rsidR="009C634C" w:rsidRPr="003D74E8" w:rsidRDefault="009C634C" w:rsidP="00742DFE">
      <w:pPr>
        <w:pStyle w:val="PR-Body"/>
        <w:rPr>
          <w:b/>
          <w:sz w:val="20"/>
          <w:szCs w:val="20"/>
          <w:lang w:val="fr-FR"/>
        </w:rPr>
      </w:pPr>
    </w:p>
    <w:sectPr w:rsidR="009C634C" w:rsidRPr="003D74E8" w:rsidSect="00A0415B">
      <w:headerReference w:type="default" r:id="rId14"/>
      <w:footerReference w:type="even" r:id="rId15"/>
      <w:footerReference w:type="default" r:id="rId16"/>
      <w:pgSz w:w="11906" w:h="16838" w:code="9"/>
      <w:pgMar w:top="1440" w:right="1418" w:bottom="567" w:left="1418" w:header="0" w:footer="7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3E" w:rsidRDefault="00B20B3E">
      <w:r>
        <w:separator/>
      </w:r>
    </w:p>
    <w:p w:rsidR="00B20B3E" w:rsidRDefault="00B20B3E"/>
  </w:endnote>
  <w:endnote w:type="continuationSeparator" w:id="0">
    <w:p w:rsidR="00B20B3E" w:rsidRDefault="00B20B3E">
      <w:r>
        <w:continuationSeparator/>
      </w:r>
    </w:p>
    <w:p w:rsidR="00B20B3E" w:rsidRDefault="00B20B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652014">
    <w:pPr>
      <w:framePr w:wrap="around" w:vAnchor="text" w:hAnchor="margin" w:xAlign="right" w:y="1"/>
    </w:pPr>
    <w:r>
      <w:fldChar w:fldCharType="begin"/>
    </w:r>
    <w:r w:rsidR="00AA1F87">
      <w:instrText xml:space="preserve">PAGE  </w:instrText>
    </w:r>
    <w:r>
      <w:fldChar w:fldCharType="end"/>
    </w:r>
  </w:p>
  <w:p w:rsidR="00AA1F87" w:rsidRDefault="00AA1F87">
    <w:pPr>
      <w:ind w:right="360"/>
    </w:pPr>
  </w:p>
  <w:p w:rsidR="00AA1F87" w:rsidRDefault="00AA1F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652014" w:rsidP="008771D3">
    <w:pPr>
      <w:framePr w:w="186" w:h="351" w:hRule="exact" w:wrap="around" w:vAnchor="text" w:hAnchor="page" w:x="10606" w:y="-240"/>
    </w:pPr>
    <w:fldSimple w:instr="PAGE  ">
      <w:r w:rsidR="002975E3">
        <w:rPr>
          <w:noProof/>
        </w:rPr>
        <w:t>1</w:t>
      </w:r>
    </w:fldSimple>
  </w:p>
  <w:p w:rsidR="00AA1F87" w:rsidRPr="00A0415B" w:rsidRDefault="00652014" w:rsidP="0058734F">
    <w:pPr>
      <w:ind w:right="70"/>
      <w:jc w:val="right"/>
      <w:rPr>
        <w:rFonts w:ascii="Arial" w:hAnsi="Arial" w:cs="Arial"/>
        <w:b/>
        <w:color w:val="333399"/>
      </w:rPr>
    </w:pPr>
    <w:r w:rsidRPr="006520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50.05pt;margin-top:0;width:144.2pt;height:34.8pt;z-index:251657728;mso-wrap-style:none" filled="f" stroked="f">
          <v:textbox style="mso-fit-shape-to-text:t">
            <w:txbxContent>
              <w:p w:rsidR="00A0415B" w:rsidRPr="00914BCA" w:rsidRDefault="00A0415B" w:rsidP="00A23F8E">
                <w:pPr>
                  <w:ind w:right="70"/>
                  <w:jc w:val="right"/>
                  <w:rPr>
                    <w:rFonts w:ascii="Arial" w:hAnsi="Arial" w:cs="Arial"/>
                    <w:b/>
                    <w:color w:val="333399"/>
                  </w:rPr>
                </w:pPr>
                <w:r w:rsidRPr="00A0415B">
                  <w:rPr>
                    <w:rFonts w:ascii="Arial" w:hAnsi="Arial" w:cs="Arial"/>
                    <w:b/>
                    <w:color w:val="333399"/>
                  </w:rPr>
                  <w:t>www.advantech.eu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3E" w:rsidRDefault="00B20B3E">
      <w:r>
        <w:separator/>
      </w:r>
    </w:p>
    <w:p w:rsidR="00B20B3E" w:rsidRDefault="00B20B3E"/>
  </w:footnote>
  <w:footnote w:type="continuationSeparator" w:id="0">
    <w:p w:rsidR="00B20B3E" w:rsidRDefault="00B20B3E">
      <w:r>
        <w:continuationSeparator/>
      </w:r>
    </w:p>
    <w:p w:rsidR="00B20B3E" w:rsidRDefault="00B20B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87" w:rsidRDefault="009C634C" w:rsidP="0058734F">
    <w:pPr>
      <w:tabs>
        <w:tab w:val="left" w:pos="1410"/>
      </w:tabs>
      <w:ind w:left="-1418" w:right="-830"/>
    </w:pPr>
    <w:r>
      <w:rPr>
        <w:noProof/>
      </w:rPr>
      <w:drawing>
        <wp:inline distT="0" distB="0" distL="0" distR="0">
          <wp:extent cx="7534275" cy="1257300"/>
          <wp:effectExtent l="19050" t="0" r="9525" b="0"/>
          <wp:docPr id="1" name="Picture 1" descr="A4-cor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corp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1F08"/>
  <w:defaultTabStop w:val="48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E3D"/>
    <w:rsid w:val="00004D6C"/>
    <w:rsid w:val="00011821"/>
    <w:rsid w:val="000247C0"/>
    <w:rsid w:val="000249B3"/>
    <w:rsid w:val="00031345"/>
    <w:rsid w:val="000661DD"/>
    <w:rsid w:val="000763AC"/>
    <w:rsid w:val="00091A2B"/>
    <w:rsid w:val="00097481"/>
    <w:rsid w:val="000A16A9"/>
    <w:rsid w:val="000B1520"/>
    <w:rsid w:val="000C2A18"/>
    <w:rsid w:val="000C3F31"/>
    <w:rsid w:val="000E4821"/>
    <w:rsid w:val="000E6671"/>
    <w:rsid w:val="00110B93"/>
    <w:rsid w:val="00133E7C"/>
    <w:rsid w:val="001342AD"/>
    <w:rsid w:val="00152B53"/>
    <w:rsid w:val="001535E2"/>
    <w:rsid w:val="0015454A"/>
    <w:rsid w:val="00157591"/>
    <w:rsid w:val="00171AD8"/>
    <w:rsid w:val="00177D31"/>
    <w:rsid w:val="00186CEC"/>
    <w:rsid w:val="001A2ECB"/>
    <w:rsid w:val="001C35B3"/>
    <w:rsid w:val="001D1195"/>
    <w:rsid w:val="001D7D1B"/>
    <w:rsid w:val="001E3EFC"/>
    <w:rsid w:val="00200FC1"/>
    <w:rsid w:val="002057C2"/>
    <w:rsid w:val="002057F4"/>
    <w:rsid w:val="002115FD"/>
    <w:rsid w:val="00214C07"/>
    <w:rsid w:val="002265F7"/>
    <w:rsid w:val="002436BB"/>
    <w:rsid w:val="00287DB1"/>
    <w:rsid w:val="002975E3"/>
    <w:rsid w:val="002B41D8"/>
    <w:rsid w:val="002C4CEC"/>
    <w:rsid w:val="002E1539"/>
    <w:rsid w:val="002E2783"/>
    <w:rsid w:val="0034557E"/>
    <w:rsid w:val="00355417"/>
    <w:rsid w:val="00365517"/>
    <w:rsid w:val="00370085"/>
    <w:rsid w:val="003726B2"/>
    <w:rsid w:val="00386715"/>
    <w:rsid w:val="00391659"/>
    <w:rsid w:val="003C1E11"/>
    <w:rsid w:val="003C43D3"/>
    <w:rsid w:val="003C5467"/>
    <w:rsid w:val="003C58D1"/>
    <w:rsid w:val="003C7102"/>
    <w:rsid w:val="003D74E8"/>
    <w:rsid w:val="003E5452"/>
    <w:rsid w:val="003F43A6"/>
    <w:rsid w:val="003F6769"/>
    <w:rsid w:val="00427683"/>
    <w:rsid w:val="00457F6A"/>
    <w:rsid w:val="004937DF"/>
    <w:rsid w:val="00495BBB"/>
    <w:rsid w:val="00496A60"/>
    <w:rsid w:val="004A4530"/>
    <w:rsid w:val="004B718D"/>
    <w:rsid w:val="004D6934"/>
    <w:rsid w:val="004E0725"/>
    <w:rsid w:val="004F0D3B"/>
    <w:rsid w:val="004F532B"/>
    <w:rsid w:val="00500A65"/>
    <w:rsid w:val="00515C7D"/>
    <w:rsid w:val="00536FE7"/>
    <w:rsid w:val="00544762"/>
    <w:rsid w:val="005612B9"/>
    <w:rsid w:val="0056556D"/>
    <w:rsid w:val="0057559C"/>
    <w:rsid w:val="0058734F"/>
    <w:rsid w:val="005A0ABD"/>
    <w:rsid w:val="00652014"/>
    <w:rsid w:val="00671080"/>
    <w:rsid w:val="00694FA0"/>
    <w:rsid w:val="0069629F"/>
    <w:rsid w:val="006C3F2B"/>
    <w:rsid w:val="006F2D09"/>
    <w:rsid w:val="006F366C"/>
    <w:rsid w:val="00742DFE"/>
    <w:rsid w:val="00773654"/>
    <w:rsid w:val="00775376"/>
    <w:rsid w:val="007C32A3"/>
    <w:rsid w:val="007D3B0A"/>
    <w:rsid w:val="008005E6"/>
    <w:rsid w:val="00810645"/>
    <w:rsid w:val="0081312F"/>
    <w:rsid w:val="00817A90"/>
    <w:rsid w:val="00817C92"/>
    <w:rsid w:val="008247DB"/>
    <w:rsid w:val="0083120C"/>
    <w:rsid w:val="00854FED"/>
    <w:rsid w:val="008756B5"/>
    <w:rsid w:val="008771D3"/>
    <w:rsid w:val="008A2464"/>
    <w:rsid w:val="008A7AE9"/>
    <w:rsid w:val="008B00C0"/>
    <w:rsid w:val="008B7E62"/>
    <w:rsid w:val="008D4A77"/>
    <w:rsid w:val="008E7529"/>
    <w:rsid w:val="009104BF"/>
    <w:rsid w:val="00931FC4"/>
    <w:rsid w:val="00935A9C"/>
    <w:rsid w:val="00937803"/>
    <w:rsid w:val="0094246B"/>
    <w:rsid w:val="00944325"/>
    <w:rsid w:val="00944829"/>
    <w:rsid w:val="009568E1"/>
    <w:rsid w:val="00964ADF"/>
    <w:rsid w:val="00967984"/>
    <w:rsid w:val="00972CBA"/>
    <w:rsid w:val="00980FC6"/>
    <w:rsid w:val="009A045B"/>
    <w:rsid w:val="009C074D"/>
    <w:rsid w:val="009C634C"/>
    <w:rsid w:val="009D24E4"/>
    <w:rsid w:val="009D42F0"/>
    <w:rsid w:val="009F56AA"/>
    <w:rsid w:val="00A0415B"/>
    <w:rsid w:val="00A07E3D"/>
    <w:rsid w:val="00A12CEF"/>
    <w:rsid w:val="00A23F8E"/>
    <w:rsid w:val="00A261FC"/>
    <w:rsid w:val="00A4076D"/>
    <w:rsid w:val="00A47DCD"/>
    <w:rsid w:val="00AA1F87"/>
    <w:rsid w:val="00AB03D2"/>
    <w:rsid w:val="00AB1112"/>
    <w:rsid w:val="00B03605"/>
    <w:rsid w:val="00B10928"/>
    <w:rsid w:val="00B20B3E"/>
    <w:rsid w:val="00B260AF"/>
    <w:rsid w:val="00B32EC5"/>
    <w:rsid w:val="00B5160A"/>
    <w:rsid w:val="00B65AE0"/>
    <w:rsid w:val="00B71786"/>
    <w:rsid w:val="00B72541"/>
    <w:rsid w:val="00B94D78"/>
    <w:rsid w:val="00B975CE"/>
    <w:rsid w:val="00BA20CE"/>
    <w:rsid w:val="00BA2A6C"/>
    <w:rsid w:val="00BB5894"/>
    <w:rsid w:val="00BB5F6D"/>
    <w:rsid w:val="00BC061E"/>
    <w:rsid w:val="00BE16BB"/>
    <w:rsid w:val="00BE3EDE"/>
    <w:rsid w:val="00BF2A34"/>
    <w:rsid w:val="00C14B3C"/>
    <w:rsid w:val="00C14B90"/>
    <w:rsid w:val="00C31CB6"/>
    <w:rsid w:val="00C46BB3"/>
    <w:rsid w:val="00C57C87"/>
    <w:rsid w:val="00C765FF"/>
    <w:rsid w:val="00CA0344"/>
    <w:rsid w:val="00CF69C7"/>
    <w:rsid w:val="00D060B6"/>
    <w:rsid w:val="00D34287"/>
    <w:rsid w:val="00D34659"/>
    <w:rsid w:val="00D443B4"/>
    <w:rsid w:val="00D45AC9"/>
    <w:rsid w:val="00D50B76"/>
    <w:rsid w:val="00D528A1"/>
    <w:rsid w:val="00DA5C3C"/>
    <w:rsid w:val="00DC2DD4"/>
    <w:rsid w:val="00DC7856"/>
    <w:rsid w:val="00DD3FE9"/>
    <w:rsid w:val="00DF3449"/>
    <w:rsid w:val="00E12B86"/>
    <w:rsid w:val="00E23A7A"/>
    <w:rsid w:val="00E375E8"/>
    <w:rsid w:val="00E722DD"/>
    <w:rsid w:val="00E805E7"/>
    <w:rsid w:val="00E82AA1"/>
    <w:rsid w:val="00E90735"/>
    <w:rsid w:val="00E94869"/>
    <w:rsid w:val="00EB73B0"/>
    <w:rsid w:val="00EC4C96"/>
    <w:rsid w:val="00ED2B10"/>
    <w:rsid w:val="00EE0A5E"/>
    <w:rsid w:val="00EE1ECB"/>
    <w:rsid w:val="00EE4835"/>
    <w:rsid w:val="00F0095E"/>
    <w:rsid w:val="00F03652"/>
    <w:rsid w:val="00F12C02"/>
    <w:rsid w:val="00F41921"/>
    <w:rsid w:val="00F452E6"/>
    <w:rsid w:val="00F532DA"/>
    <w:rsid w:val="00F66B2B"/>
    <w:rsid w:val="00F77E02"/>
    <w:rsid w:val="00FA5CB5"/>
    <w:rsid w:val="00FC260D"/>
    <w:rsid w:val="00FC3CD0"/>
    <w:rsid w:val="00FC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464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8A2464"/>
    <w:pPr>
      <w:keepNext/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A2464"/>
    <w:pPr>
      <w:keepNext/>
      <w:outlineLvl w:val="1"/>
    </w:pPr>
    <w:rPr>
      <w:rFonts w:ascii="Arial" w:hAnsi="Arial" w:cs="Arial"/>
      <w:b/>
      <w:bCs/>
      <w:color w:val="333399"/>
      <w:sz w:val="18"/>
    </w:rPr>
  </w:style>
  <w:style w:type="paragraph" w:styleId="Heading3">
    <w:name w:val="heading 3"/>
    <w:basedOn w:val="Normal"/>
    <w:next w:val="Normal"/>
    <w:qFormat/>
    <w:rsid w:val="008A2464"/>
    <w:pPr>
      <w:keepNext/>
      <w:outlineLvl w:val="2"/>
    </w:pPr>
    <w:rPr>
      <w:rFonts w:ascii="Arial" w:hAnsi="Arial" w:cs="Arial"/>
      <w:b/>
      <w:bCs/>
      <w:color w:val="333399"/>
      <w:sz w:val="16"/>
    </w:rPr>
  </w:style>
  <w:style w:type="paragraph" w:styleId="Heading4">
    <w:name w:val="heading 4"/>
    <w:basedOn w:val="Normal"/>
    <w:next w:val="Normal"/>
    <w:qFormat/>
    <w:rsid w:val="003C1E11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2464"/>
    <w:rPr>
      <w:color w:val="0000FF"/>
      <w:u w:val="single"/>
    </w:rPr>
  </w:style>
  <w:style w:type="table" w:styleId="TableGrid">
    <w:name w:val="Table Grid"/>
    <w:basedOn w:val="TableNormal"/>
    <w:rsid w:val="00B32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header">
    <w:name w:val="prheader"/>
    <w:basedOn w:val="Normal"/>
    <w:link w:val="prheaderChar"/>
    <w:rsid w:val="00500A65"/>
    <w:pPr>
      <w:widowControl/>
      <w:spacing w:before="100" w:beforeAutospacing="1" w:after="100" w:afterAutospacing="1"/>
    </w:pPr>
    <w:rPr>
      <w:kern w:val="0"/>
    </w:rPr>
  </w:style>
  <w:style w:type="character" w:customStyle="1" w:styleId="prheaderChar">
    <w:name w:val="prheader Char"/>
    <w:basedOn w:val="DefaultParagraphFont"/>
    <w:link w:val="prheader"/>
    <w:rsid w:val="00177D31"/>
    <w:rPr>
      <w:rFonts w:eastAsia="PMingLiU"/>
      <w:sz w:val="24"/>
      <w:szCs w:val="24"/>
      <w:lang w:val="en-US" w:eastAsia="zh-TW" w:bidi="ar-SA"/>
    </w:rPr>
  </w:style>
  <w:style w:type="paragraph" w:customStyle="1" w:styleId="PR-AboutAdv">
    <w:name w:val="PR-AboutAdv"/>
    <w:basedOn w:val="Normal"/>
    <w:link w:val="PR-AboutAdvChar"/>
    <w:rsid w:val="000763AC"/>
    <w:pPr>
      <w:snapToGrid w:val="0"/>
    </w:pPr>
    <w:rPr>
      <w:rFonts w:ascii="Arial" w:hAnsi="Arial" w:cs="Arial"/>
      <w:sz w:val="16"/>
      <w:szCs w:val="16"/>
    </w:rPr>
  </w:style>
  <w:style w:type="character" w:customStyle="1" w:styleId="PR-AboutAdvChar">
    <w:name w:val="PR-AboutAdv Char"/>
    <w:basedOn w:val="DefaultParagraphFont"/>
    <w:link w:val="PR-AboutAdv"/>
    <w:rsid w:val="000763AC"/>
    <w:rPr>
      <w:rFonts w:ascii="Arial" w:eastAsia="PMingLiU" w:hAnsi="Arial" w:cs="Arial"/>
      <w:kern w:val="2"/>
      <w:sz w:val="16"/>
      <w:szCs w:val="16"/>
      <w:lang w:val="en-US" w:eastAsia="zh-TW" w:bidi="ar-SA"/>
    </w:rPr>
  </w:style>
  <w:style w:type="paragraph" w:customStyle="1" w:styleId="PR-Body">
    <w:name w:val="PR-Body"/>
    <w:basedOn w:val="prheader"/>
    <w:link w:val="PR-BodyChar"/>
    <w:rsid w:val="00177D31"/>
    <w:pPr>
      <w:snapToGrid w:val="0"/>
      <w:spacing w:before="0" w:beforeAutospacing="0" w:after="0" w:afterAutospacing="0"/>
    </w:pPr>
    <w:rPr>
      <w:rFonts w:ascii="Arial" w:hAnsi="Arial" w:cs="Arial"/>
      <w:color w:val="000000"/>
      <w:sz w:val="21"/>
      <w:szCs w:val="21"/>
    </w:rPr>
  </w:style>
  <w:style w:type="character" w:customStyle="1" w:styleId="PR-BodyChar">
    <w:name w:val="PR-Body Char"/>
    <w:basedOn w:val="prheaderChar"/>
    <w:link w:val="PR-Body"/>
    <w:rsid w:val="00177D31"/>
    <w:rPr>
      <w:rFonts w:ascii="Arial" w:hAnsi="Arial" w:cs="Arial"/>
      <w:color w:val="000000"/>
      <w:sz w:val="21"/>
      <w:szCs w:val="21"/>
    </w:rPr>
  </w:style>
  <w:style w:type="paragraph" w:customStyle="1" w:styleId="PR-Headline">
    <w:name w:val="PR-Headline"/>
    <w:basedOn w:val="prheader"/>
    <w:rsid w:val="00177D31"/>
    <w:pPr>
      <w:spacing w:before="240" w:beforeAutospacing="0" w:after="0" w:afterAutospacing="0"/>
      <w:ind w:leftChars="200" w:left="480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PR-2ndLine">
    <w:name w:val="PR-2ndLine"/>
    <w:basedOn w:val="prheader"/>
    <w:rsid w:val="00177D31"/>
    <w:pPr>
      <w:spacing w:before="0" w:beforeAutospacing="0" w:after="0" w:afterAutospacing="0"/>
      <w:ind w:leftChars="200" w:left="480"/>
      <w:jc w:val="center"/>
    </w:pPr>
    <w:rPr>
      <w:rFonts w:ascii="Arial" w:hAnsi="Arial" w:cs="Arial"/>
      <w:b/>
      <w:color w:val="000000"/>
    </w:rPr>
  </w:style>
  <w:style w:type="paragraph" w:styleId="Header">
    <w:name w:val="head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817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r-aboutadvchar0">
    <w:name w:val="pr-aboutadvchar"/>
    <w:basedOn w:val="DefaultParagraphFont"/>
    <w:rsid w:val="00810645"/>
  </w:style>
  <w:style w:type="paragraph" w:styleId="BalloonText">
    <w:name w:val="Balloon Text"/>
    <w:basedOn w:val="Normal"/>
    <w:link w:val="BalloonTextChar"/>
    <w:rsid w:val="00D34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4287"/>
    <w:rPr>
      <w:rFonts w:ascii="Tahoma" w:hAnsi="Tahoma" w:cs="Tahoma"/>
      <w:kern w:val="2"/>
      <w:sz w:val="16"/>
      <w:szCs w:val="16"/>
      <w:lang w:eastAsia="zh-TW"/>
    </w:rPr>
  </w:style>
  <w:style w:type="paragraph" w:styleId="BodyText">
    <w:name w:val="Body Text"/>
    <w:basedOn w:val="Normal"/>
    <w:link w:val="BodyTextChar"/>
    <w:rsid w:val="00DD3F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3FE9"/>
    <w:rPr>
      <w:kern w:val="2"/>
      <w:sz w:val="24"/>
      <w:szCs w:val="24"/>
      <w:lang w:eastAsia="zh-TW"/>
    </w:rPr>
  </w:style>
  <w:style w:type="paragraph" w:styleId="NoSpacing">
    <w:name w:val="No Spacing"/>
    <w:uiPriority w:val="1"/>
    <w:qFormat/>
    <w:rsid w:val="00694FA0"/>
    <w:pPr>
      <w:widowControl w:val="0"/>
    </w:pPr>
    <w:rPr>
      <w:kern w:val="2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84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2272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16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vantech.e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ielle.severac@advantech.fr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customercare@advantech.eu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.skiba\My%20Documents\Presserelease\2010_EU_P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2010_EU_PR-Template</Template>
  <TotalTime>1</TotalTime>
  <Pages>2</Pages>
  <Words>752</Words>
  <Characters>4462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CONTACTS</vt:lpstr>
    </vt:vector>
  </TitlesOfParts>
  <Company>advantech</Company>
  <LinksUpToDate>false</LinksUpToDate>
  <CharactersWithSpaces>5204</CharactersWithSpaces>
  <SharedDoc>false</SharedDoc>
  <HLinks>
    <vt:vector size="48" baseType="variant">
      <vt:variant>
        <vt:i4>5701686</vt:i4>
      </vt:variant>
      <vt:variant>
        <vt:i4>21</vt:i4>
      </vt:variant>
      <vt:variant>
        <vt:i4>0</vt:i4>
      </vt:variant>
      <vt:variant>
        <vt:i4>5</vt:i4>
      </vt:variant>
      <vt:variant>
        <vt:lpwstr>../../../../Local Settings/Temporary Internet Files/Content.Outlook/martin.skiba@advantech.de</vt:lpwstr>
      </vt:variant>
      <vt:variant>
        <vt:lpwstr/>
      </vt:variant>
      <vt:variant>
        <vt:i4>327729</vt:i4>
      </vt:variant>
      <vt:variant>
        <vt:i4>18</vt:i4>
      </vt:variant>
      <vt:variant>
        <vt:i4>0</vt:i4>
      </vt:variant>
      <vt:variant>
        <vt:i4>5</vt:i4>
      </vt:variant>
      <vt:variant>
        <vt:lpwstr>mailto:ePcustomercare@advantech.eu</vt:lpwstr>
      </vt:variant>
      <vt:variant>
        <vt:lpwstr/>
      </vt:variant>
      <vt:variant>
        <vt:i4>917531</vt:i4>
      </vt:variant>
      <vt:variant>
        <vt:i4>15</vt:i4>
      </vt:variant>
      <vt:variant>
        <vt:i4>0</vt:i4>
      </vt:variant>
      <vt:variant>
        <vt:i4>5</vt:i4>
      </vt:variant>
      <vt:variant>
        <vt:lpwstr>http://buy.advantech.eu/</vt:lpwstr>
      </vt:variant>
      <vt:variant>
        <vt:lpwstr/>
      </vt:variant>
      <vt:variant>
        <vt:i4>1376281</vt:i4>
      </vt:variant>
      <vt:variant>
        <vt:i4>12</vt:i4>
      </vt:variant>
      <vt:variant>
        <vt:i4>0</vt:i4>
      </vt:variant>
      <vt:variant>
        <vt:i4>5</vt:i4>
      </vt:variant>
      <vt:variant>
        <vt:lpwstr>http://www.advantech.eu/</vt:lpwstr>
      </vt:variant>
      <vt:variant>
        <vt:lpwstr/>
      </vt:variant>
      <vt:variant>
        <vt:i4>4390947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http://www.advantech.com.tw/products/PCM-3355/mod_1-3CNL8X.aspx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http://support.advantech.com.tw/support/DownloadDatasheet.aspx?Literature_ID=1-3CJE6H&amp;utm_source=www.advantech.com.tw&amp;utm_medium=Download&amp;utm_campaign=PCM-3355+Data+Sheet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Files/Content.Outlook/martin.skiba@advantech.de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mailto:ePcustomercare@advantech.eu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CONTACTS</dc:title>
  <dc:subject/>
  <dc:creator>martin.skiba</dc:creator>
  <cp:keywords/>
  <dc:description/>
  <cp:lastModifiedBy>pauline.huang</cp:lastModifiedBy>
  <cp:revision>2</cp:revision>
  <cp:lastPrinted>2010-03-24T09:45:00Z</cp:lastPrinted>
  <dcterms:created xsi:type="dcterms:W3CDTF">2010-07-19T15:13:00Z</dcterms:created>
  <dcterms:modified xsi:type="dcterms:W3CDTF">2010-07-19T15:13:00Z</dcterms:modified>
</cp:coreProperties>
</file>