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 xml:space="preserve">Advantech Europe </w:t>
      </w:r>
      <w:r w:rsidR="003A68E0">
        <w:rPr>
          <w:bCs/>
          <w:sz w:val="20"/>
          <w:szCs w:val="20"/>
        </w:rPr>
        <w:t>B.V.</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3A68E0">
        <w:rPr>
          <w:bCs/>
          <w:sz w:val="20"/>
          <w:szCs w:val="20"/>
        </w:rPr>
        <w:t>B.V.</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Martin Skiba</w:t>
      </w:r>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w:t>
      </w:r>
      <w:proofErr w:type="spellStart"/>
      <w:r w:rsidRPr="0081312F">
        <w:rPr>
          <w:bCs/>
          <w:sz w:val="20"/>
          <w:szCs w:val="20"/>
        </w:rPr>
        <w:t>8</w:t>
      </w:r>
      <w:r w:rsidR="0015454A">
        <w:rPr>
          <w:bCs/>
          <w:sz w:val="20"/>
          <w:szCs w:val="20"/>
        </w:rPr>
        <w:t>0</w:t>
      </w:r>
      <w:proofErr w:type="spellEnd"/>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EC5311" w:rsidP="000E6671">
      <w:pPr>
        <w:pStyle w:val="PR-Body"/>
        <w:ind w:left="900"/>
        <w:rPr>
          <w:sz w:val="20"/>
          <w:szCs w:val="20"/>
        </w:rPr>
      </w:pPr>
      <w:hyperlink r:id="rId7" w:history="1">
        <w:r w:rsidR="00CF41FB" w:rsidRPr="00AF2D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8" w:history="1">
        <w:r w:rsidR="00BF2A34" w:rsidRPr="00E30125">
          <w:rPr>
            <w:rStyle w:val="Hyperlink"/>
            <w:sz w:val="20"/>
            <w:szCs w:val="20"/>
          </w:rPr>
          <w:t>martin.skiba@advantech.de</w:t>
        </w:r>
      </w:hyperlink>
    </w:p>
    <w:p w:rsidR="004B718D" w:rsidRDefault="004B718D" w:rsidP="008F08CF">
      <w:pPr>
        <w:pStyle w:val="PR-Body"/>
        <w:rPr>
          <w:color w:val="auto"/>
          <w:sz w:val="36"/>
          <w:szCs w:val="36"/>
        </w:rPr>
      </w:pPr>
    </w:p>
    <w:tbl>
      <w:tblPr>
        <w:tblpPr w:leftFromText="180" w:rightFromText="180" w:vertAnchor="text" w:horzAnchor="margin" w:tblpY="71"/>
        <w:tblW w:w="15224" w:type="dxa"/>
        <w:tblLayout w:type="fixed"/>
        <w:tblLook w:val="01E0"/>
      </w:tblPr>
      <w:tblGrid>
        <w:gridCol w:w="4928"/>
        <w:gridCol w:w="5148"/>
        <w:gridCol w:w="5148"/>
      </w:tblGrid>
      <w:tr w:rsidR="00F11874" w:rsidRPr="009D5A1C" w:rsidTr="0025698C">
        <w:tc>
          <w:tcPr>
            <w:tcW w:w="4928" w:type="dxa"/>
          </w:tcPr>
          <w:p w:rsidR="00F11874" w:rsidRPr="00DB6E46" w:rsidRDefault="00F11874" w:rsidP="0025698C">
            <w:pPr>
              <w:snapToGrid w:val="0"/>
              <w:rPr>
                <w:rFonts w:ascii="Tahoma" w:hAnsi="Tahoma" w:cs="Tahoma"/>
                <w:sz w:val="18"/>
                <w:szCs w:val="18"/>
              </w:rPr>
            </w:pPr>
          </w:p>
        </w:tc>
        <w:tc>
          <w:tcPr>
            <w:tcW w:w="5148" w:type="dxa"/>
          </w:tcPr>
          <w:p w:rsidR="00F11874" w:rsidRPr="009D5A1C" w:rsidRDefault="00F11874" w:rsidP="0025698C">
            <w:pPr>
              <w:pStyle w:val="PR-Body"/>
              <w:spacing w:after="120" w:line="240" w:lineRule="atLeast"/>
              <w:rPr>
                <w:rFonts w:ascii="Tahoma" w:hAnsi="Tahoma" w:cs="Tahoma"/>
                <w:b/>
                <w:sz w:val="18"/>
                <w:szCs w:val="18"/>
              </w:rPr>
            </w:pPr>
          </w:p>
        </w:tc>
        <w:tc>
          <w:tcPr>
            <w:tcW w:w="5148" w:type="dxa"/>
          </w:tcPr>
          <w:p w:rsidR="00F11874" w:rsidRPr="009D5A1C" w:rsidRDefault="00F11874" w:rsidP="0025698C">
            <w:pPr>
              <w:pStyle w:val="PR-Body"/>
              <w:spacing w:after="120"/>
              <w:ind w:leftChars="-30" w:left="-72" w:firstLineChars="250" w:firstLine="450"/>
              <w:jc w:val="center"/>
              <w:rPr>
                <w:rFonts w:ascii="Tahoma" w:hAnsi="Tahoma" w:cs="Tahoma"/>
                <w:b/>
                <w:bCs/>
                <w:sz w:val="18"/>
                <w:szCs w:val="18"/>
              </w:rPr>
            </w:pPr>
            <w:r w:rsidRPr="009D5A1C">
              <w:rPr>
                <w:rFonts w:ascii="Tahoma" w:hAnsi="Tahoma" w:cs="Tahoma"/>
                <w:b/>
                <w:bCs/>
                <w:sz w:val="18"/>
                <w:szCs w:val="18"/>
              </w:rPr>
              <w:t>2nd Media Contact:</w:t>
            </w:r>
          </w:p>
        </w:tc>
      </w:tr>
    </w:tbl>
    <w:p w:rsidR="00F11874" w:rsidRPr="00E02AFB" w:rsidRDefault="00F11874" w:rsidP="00C871B7">
      <w:pPr>
        <w:spacing w:beforeLines="50" w:afterLines="50" w:line="360" w:lineRule="auto"/>
        <w:contextualSpacing/>
        <w:rPr>
          <w:rFonts w:ascii="Tahoma" w:hAnsi="Tahoma" w:cs="Tahoma"/>
          <w:b/>
          <w:kern w:val="0"/>
          <w:sz w:val="23"/>
          <w:szCs w:val="23"/>
        </w:rPr>
      </w:pPr>
      <w:bookmarkStart w:id="0" w:name="OLE_LINK1"/>
      <w:bookmarkStart w:id="1" w:name="OLE_LINK2"/>
      <w:r>
        <w:rPr>
          <w:rFonts w:ascii="Tahoma" w:hAnsi="Tahoma" w:cs="Tahoma" w:hint="eastAsia"/>
          <w:b/>
          <w:kern w:val="0"/>
          <w:sz w:val="23"/>
          <w:szCs w:val="23"/>
        </w:rPr>
        <w:t>Advantech at Medica</w:t>
      </w:r>
      <w:r>
        <w:rPr>
          <w:rFonts w:ascii="Tahoma" w:hAnsi="Tahoma" w:cs="Tahoma"/>
          <w:b/>
          <w:kern w:val="0"/>
          <w:sz w:val="23"/>
          <w:szCs w:val="23"/>
        </w:rPr>
        <w:t xml:space="preserve"> 2010</w:t>
      </w:r>
      <w:r>
        <w:rPr>
          <w:rFonts w:ascii="Tahoma" w:hAnsi="Tahoma" w:cs="Tahoma" w:hint="eastAsia"/>
          <w:b/>
          <w:kern w:val="0"/>
          <w:sz w:val="23"/>
          <w:szCs w:val="23"/>
        </w:rPr>
        <w:t xml:space="preserve">: Creating Digital </w:t>
      </w:r>
      <w:r w:rsidR="00F451F7">
        <w:rPr>
          <w:rFonts w:ascii="Tahoma" w:hAnsi="Tahoma" w:cs="Tahoma"/>
          <w:b/>
          <w:kern w:val="0"/>
          <w:sz w:val="23"/>
          <w:szCs w:val="23"/>
        </w:rPr>
        <w:t>Possibilities</w:t>
      </w:r>
      <w:r>
        <w:rPr>
          <w:rFonts w:ascii="Tahoma" w:hAnsi="Tahoma" w:cs="Tahoma" w:hint="eastAsia"/>
          <w:b/>
          <w:kern w:val="0"/>
          <w:sz w:val="23"/>
          <w:szCs w:val="23"/>
        </w:rPr>
        <w:t xml:space="preserve"> for Patient Care</w:t>
      </w:r>
      <w:r>
        <w:rPr>
          <w:rFonts w:ascii="Tahoma" w:hAnsi="Tahoma" w:cs="Tahoma"/>
          <w:b/>
          <w:kern w:val="0"/>
          <w:sz w:val="23"/>
          <w:szCs w:val="23"/>
        </w:rPr>
        <w:t xml:space="preserve"> </w:t>
      </w:r>
    </w:p>
    <w:bookmarkEnd w:id="0"/>
    <w:bookmarkEnd w:id="1"/>
    <w:p w:rsidR="00F11874" w:rsidRDefault="00F11874" w:rsidP="00F11874">
      <w:pPr>
        <w:pStyle w:val="NoSpacing"/>
        <w:rPr>
          <w:rStyle w:val="A6"/>
          <w:rFonts w:ascii="Tahoma" w:hAnsi="Tahoma" w:cs="Tahoma"/>
          <w:sz w:val="21"/>
          <w:szCs w:val="21"/>
        </w:rPr>
      </w:pPr>
      <w:r>
        <w:rPr>
          <w:noProof/>
          <w:lang w:eastAsia="en-US"/>
        </w:rPr>
        <w:drawing>
          <wp:anchor distT="0" distB="0" distL="114300" distR="114300" simplePos="0" relativeHeight="251662336" behindDoc="1" locked="0" layoutInCell="1" allowOverlap="1">
            <wp:simplePos x="0" y="0"/>
            <wp:positionH relativeFrom="column">
              <wp:posOffset>5062855</wp:posOffset>
            </wp:positionH>
            <wp:positionV relativeFrom="paragraph">
              <wp:posOffset>20955</wp:posOffset>
            </wp:positionV>
            <wp:extent cx="635635" cy="845820"/>
            <wp:effectExtent l="19050" t="0" r="0" b="0"/>
            <wp:wrapTight wrapText="bothSides">
              <wp:wrapPolygon edited="0">
                <wp:start x="-647" y="0"/>
                <wp:lineTo x="-647" y="20919"/>
                <wp:lineTo x="21363" y="20919"/>
                <wp:lineTo x="21363" y="0"/>
                <wp:lineTo x="-647" y="0"/>
              </wp:wrapPolygon>
            </wp:wrapTight>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35635" cy="845820"/>
                    </a:xfrm>
                    <a:prstGeom prst="rect">
                      <a:avLst/>
                    </a:prstGeom>
                    <a:noFill/>
                    <a:ln w="9525">
                      <a:noFill/>
                      <a:miter lim="800000"/>
                      <a:headEnd/>
                      <a:tailEnd/>
                    </a:ln>
                  </pic:spPr>
                </pic:pic>
              </a:graphicData>
            </a:graphic>
          </wp:anchor>
        </w:drawing>
      </w:r>
      <w:r w:rsidRPr="007E6EF7">
        <w:rPr>
          <w:rFonts w:ascii="Tahoma" w:hAnsi="Tahoma" w:cs="Tahoma"/>
          <w:b/>
          <w:i/>
          <w:sz w:val="21"/>
          <w:szCs w:val="21"/>
        </w:rPr>
        <w:t xml:space="preserve">November </w:t>
      </w:r>
      <w:r>
        <w:rPr>
          <w:rFonts w:ascii="Tahoma" w:hAnsi="Tahoma" w:cs="Tahoma" w:hint="eastAsia"/>
          <w:b/>
          <w:i/>
          <w:sz w:val="21"/>
          <w:szCs w:val="21"/>
        </w:rPr>
        <w:t>1</w:t>
      </w:r>
      <w:r w:rsidR="00F451F7">
        <w:rPr>
          <w:rFonts w:ascii="Tahoma" w:hAnsi="Tahoma" w:cs="Tahoma"/>
          <w:b/>
          <w:i/>
          <w:sz w:val="21"/>
          <w:szCs w:val="21"/>
        </w:rPr>
        <w:t>7</w:t>
      </w:r>
      <w:r w:rsidRPr="007E6EF7">
        <w:rPr>
          <w:rFonts w:ascii="Tahoma" w:hAnsi="Tahoma" w:cs="Tahoma"/>
          <w:b/>
          <w:i/>
          <w:sz w:val="21"/>
          <w:szCs w:val="21"/>
        </w:rPr>
        <w:t>, 2010</w:t>
      </w:r>
      <w:r>
        <w:rPr>
          <w:rFonts w:ascii="Tahoma" w:hAnsi="Tahoma" w:cs="Tahoma" w:hint="eastAsia"/>
          <w:b/>
          <w:i/>
          <w:sz w:val="21"/>
          <w:szCs w:val="21"/>
        </w:rPr>
        <w:t xml:space="preserve"> </w:t>
      </w:r>
      <w:r w:rsidRPr="007E6EF7">
        <w:rPr>
          <w:rFonts w:ascii="Tahoma" w:hAnsi="Tahoma" w:cs="Tahoma"/>
          <w:b/>
          <w:sz w:val="21"/>
          <w:szCs w:val="21"/>
        </w:rPr>
        <w:t>–</w:t>
      </w:r>
      <w:r>
        <w:rPr>
          <w:rFonts w:ascii="Tahoma" w:hAnsi="Tahoma" w:cs="Tahoma" w:hint="eastAsia"/>
          <w:b/>
          <w:sz w:val="21"/>
          <w:szCs w:val="21"/>
        </w:rPr>
        <w:t xml:space="preserve"> </w:t>
      </w:r>
      <w:r w:rsidRPr="00D62A8E">
        <w:rPr>
          <w:rStyle w:val="A6"/>
          <w:rFonts w:ascii="Tahoma" w:hAnsi="Tahoma" w:cs="Tahoma"/>
          <w:sz w:val="21"/>
          <w:szCs w:val="21"/>
        </w:rPr>
        <w:t>MEDICA is the world’s largest event for the medical sector</w:t>
      </w:r>
      <w:r>
        <w:rPr>
          <w:rStyle w:val="A6"/>
          <w:rFonts w:ascii="Tahoma" w:hAnsi="Tahoma" w:cs="Tahoma"/>
          <w:sz w:val="21"/>
          <w:szCs w:val="21"/>
        </w:rPr>
        <w:t>, hosting medical exhibitors from over 70 countries–experts have been attending it for more than forty years.</w:t>
      </w:r>
      <w:r w:rsidRPr="00D62A8E">
        <w:rPr>
          <w:rStyle w:val="A6"/>
          <w:rFonts w:ascii="Tahoma" w:hAnsi="Tahoma" w:cs="Tahoma" w:hint="eastAsia"/>
          <w:sz w:val="21"/>
          <w:szCs w:val="21"/>
        </w:rPr>
        <w:t xml:space="preserve"> </w:t>
      </w:r>
      <w:r>
        <w:rPr>
          <w:rStyle w:val="A6"/>
          <w:rFonts w:ascii="Tahoma" w:hAnsi="Tahoma" w:cs="Tahoma"/>
          <w:sz w:val="21"/>
          <w:szCs w:val="21"/>
        </w:rPr>
        <w:t>This year, Medica takes place in Düsseldorf, Germany from November 17</w:t>
      </w:r>
      <w:r w:rsidRPr="00A0468E">
        <w:rPr>
          <w:rStyle w:val="A6"/>
          <w:rFonts w:ascii="Tahoma" w:hAnsi="Tahoma" w:cs="Tahoma"/>
          <w:sz w:val="21"/>
          <w:szCs w:val="21"/>
          <w:vertAlign w:val="superscript"/>
        </w:rPr>
        <w:t>th</w:t>
      </w:r>
      <w:r>
        <w:rPr>
          <w:rStyle w:val="A6"/>
          <w:rFonts w:ascii="Tahoma" w:hAnsi="Tahoma" w:cs="Tahoma"/>
          <w:sz w:val="21"/>
          <w:szCs w:val="21"/>
        </w:rPr>
        <w:t xml:space="preserve"> - 20</w:t>
      </w:r>
      <w:r w:rsidRPr="00A0468E">
        <w:rPr>
          <w:rStyle w:val="A6"/>
          <w:rFonts w:ascii="Tahoma" w:hAnsi="Tahoma" w:cs="Tahoma"/>
          <w:sz w:val="21"/>
          <w:szCs w:val="21"/>
          <w:vertAlign w:val="superscript"/>
        </w:rPr>
        <w:t>th</w:t>
      </w:r>
      <w:r>
        <w:rPr>
          <w:rStyle w:val="A6"/>
          <w:rFonts w:ascii="Tahoma" w:hAnsi="Tahoma" w:cs="Tahoma"/>
          <w:sz w:val="21"/>
          <w:szCs w:val="21"/>
        </w:rPr>
        <w:t xml:space="preserve">. </w:t>
      </w:r>
      <w:r w:rsidRPr="006A12BF">
        <w:rPr>
          <w:rStyle w:val="A6"/>
          <w:rFonts w:ascii="Tahoma" w:hAnsi="Tahoma" w:cs="Tahoma" w:hint="eastAsia"/>
          <w:sz w:val="21"/>
          <w:szCs w:val="21"/>
        </w:rPr>
        <w:t>Advantech</w:t>
      </w:r>
      <w:r>
        <w:rPr>
          <w:rStyle w:val="A6"/>
          <w:rFonts w:ascii="Tahoma" w:hAnsi="Tahoma" w:cs="Tahoma"/>
          <w:sz w:val="21"/>
          <w:szCs w:val="21"/>
        </w:rPr>
        <w:t xml:space="preserve"> is attending the event and</w:t>
      </w:r>
      <w:r w:rsidRPr="006A12BF">
        <w:rPr>
          <w:rStyle w:val="A6"/>
          <w:rFonts w:ascii="Tahoma" w:hAnsi="Tahoma" w:cs="Tahoma" w:hint="eastAsia"/>
          <w:sz w:val="21"/>
          <w:szCs w:val="21"/>
        </w:rPr>
        <w:t xml:space="preserve"> unveil</w:t>
      </w:r>
      <w:r>
        <w:rPr>
          <w:rStyle w:val="A6"/>
          <w:rFonts w:ascii="Tahoma" w:hAnsi="Tahoma" w:cs="Tahoma"/>
          <w:sz w:val="21"/>
          <w:szCs w:val="21"/>
        </w:rPr>
        <w:t xml:space="preserve">ing </w:t>
      </w:r>
      <w:r w:rsidRPr="006A12BF">
        <w:rPr>
          <w:rStyle w:val="A6"/>
          <w:rFonts w:ascii="Tahoma" w:hAnsi="Tahoma" w:cs="Tahoma" w:hint="eastAsia"/>
          <w:sz w:val="21"/>
          <w:szCs w:val="21"/>
        </w:rPr>
        <w:t>a series of new</w:t>
      </w:r>
      <w:r>
        <w:rPr>
          <w:rStyle w:val="A6"/>
          <w:rFonts w:ascii="Tahoma" w:hAnsi="Tahoma" w:cs="Tahoma"/>
          <w:sz w:val="21"/>
          <w:szCs w:val="21"/>
        </w:rPr>
        <w:t>,</w:t>
      </w:r>
      <w:r w:rsidRPr="006A12BF">
        <w:rPr>
          <w:rStyle w:val="A6"/>
          <w:rFonts w:ascii="Tahoma" w:hAnsi="Tahoma" w:cs="Tahoma" w:hint="eastAsia"/>
          <w:sz w:val="21"/>
          <w:szCs w:val="21"/>
        </w:rPr>
        <w:t xml:space="preserve"> patient-centric </w:t>
      </w:r>
      <w:r w:rsidRPr="006A12BF">
        <w:rPr>
          <w:rStyle w:val="A6"/>
          <w:rFonts w:ascii="Tahoma" w:hAnsi="Tahoma" w:cs="Tahoma"/>
          <w:sz w:val="21"/>
          <w:szCs w:val="21"/>
        </w:rPr>
        <w:t>bedside</w:t>
      </w:r>
      <w:r w:rsidRPr="006A12BF">
        <w:rPr>
          <w:rStyle w:val="A6"/>
          <w:rFonts w:ascii="Tahoma" w:hAnsi="Tahoma" w:cs="Tahoma" w:hint="eastAsia"/>
          <w:sz w:val="21"/>
          <w:szCs w:val="21"/>
        </w:rPr>
        <w:t xml:space="preserve"> terminals</w:t>
      </w:r>
      <w:r>
        <w:rPr>
          <w:rStyle w:val="A6"/>
          <w:rFonts w:ascii="Tahoma" w:hAnsi="Tahoma" w:cs="Tahoma"/>
          <w:sz w:val="21"/>
          <w:szCs w:val="21"/>
        </w:rPr>
        <w:t>. Visitors can see the latest in digital healthcare solutions at Advantech’s exhibition booth (Hall 15</w:t>
      </w:r>
      <w:r w:rsidR="00525C72">
        <w:rPr>
          <w:rStyle w:val="A6"/>
          <w:rFonts w:ascii="Tahoma" w:hAnsi="Tahoma" w:cs="Tahoma"/>
          <w:sz w:val="21"/>
          <w:szCs w:val="21"/>
        </w:rPr>
        <w:t xml:space="preserve"> </w:t>
      </w:r>
      <w:r>
        <w:rPr>
          <w:rStyle w:val="A6"/>
          <w:rFonts w:ascii="Tahoma" w:hAnsi="Tahoma" w:cs="Tahoma"/>
          <w:sz w:val="21"/>
          <w:szCs w:val="21"/>
        </w:rPr>
        <w:t xml:space="preserve">G 12). </w:t>
      </w:r>
    </w:p>
    <w:p w:rsidR="00525C72" w:rsidRDefault="00525C72" w:rsidP="00F11874">
      <w:pPr>
        <w:pStyle w:val="NoSpacing"/>
        <w:rPr>
          <w:rStyle w:val="A6"/>
          <w:rFonts w:ascii="Tahoma" w:hAnsi="Tahoma" w:cs="Tahoma"/>
          <w:sz w:val="21"/>
          <w:szCs w:val="21"/>
        </w:rPr>
      </w:pPr>
    </w:p>
    <w:p w:rsidR="00131041" w:rsidRPr="00131041" w:rsidRDefault="00131041" w:rsidP="00F11874">
      <w:pPr>
        <w:pStyle w:val="NoSpacing"/>
        <w:rPr>
          <w:rStyle w:val="A6"/>
          <w:rFonts w:ascii="Tahoma" w:hAnsi="Tahoma" w:cs="Tahoma"/>
          <w:b/>
          <w:sz w:val="21"/>
          <w:szCs w:val="21"/>
        </w:rPr>
      </w:pPr>
      <w:r>
        <w:rPr>
          <w:rStyle w:val="A6"/>
          <w:rFonts w:ascii="Tahoma" w:hAnsi="Tahoma" w:cs="Tahoma"/>
          <w:b/>
          <w:sz w:val="21"/>
          <w:szCs w:val="21"/>
        </w:rPr>
        <w:t>Point-of-Care Terminals</w:t>
      </w:r>
    </w:p>
    <w:p w:rsidR="00131041" w:rsidRDefault="00131041" w:rsidP="00F11874">
      <w:pPr>
        <w:pStyle w:val="NoSpacing"/>
        <w:rPr>
          <w:rStyle w:val="A6"/>
          <w:rFonts w:ascii="Tahoma" w:hAnsi="Tahoma" w:cs="Tahoma"/>
          <w:sz w:val="21"/>
          <w:szCs w:val="21"/>
        </w:rPr>
      </w:pPr>
    </w:p>
    <w:p w:rsidR="00131041" w:rsidRDefault="00131041" w:rsidP="00F11874">
      <w:pPr>
        <w:pStyle w:val="NoSpacing"/>
        <w:rPr>
          <w:rStyle w:val="A6"/>
          <w:rFonts w:ascii="Tahoma" w:hAnsi="Tahoma" w:cs="Tahoma"/>
          <w:sz w:val="21"/>
          <w:szCs w:val="21"/>
        </w:rPr>
      </w:pPr>
      <w:r w:rsidRPr="00131041">
        <w:rPr>
          <w:rStyle w:val="A6"/>
          <w:rFonts w:ascii="Tahoma" w:hAnsi="Tahoma" w:cs="Tahoma"/>
          <w:sz w:val="21"/>
          <w:szCs w:val="21"/>
        </w:rPr>
        <w:t>With UL60601-1, EN60601-1 and IEC60601-1 approval, Advantech all-in-one Point-of-Care (POC) terminals are scalable computing platforms that are designed for easier integration with existing and new hospital system configurations. The Intel Pentium processors and high contrast TFT LCDs of the POC series makes them the perfect image terminals for versatile medical applications. Sealed IO ports, IPX1 compliant chassis and IP65/NEMA4 rated front panels ensure water and dust resistance for easy cleaning and high reliability. This combination of features makes the POC series especially suited for medical environments.</w:t>
      </w:r>
      <w:r>
        <w:rPr>
          <w:rStyle w:val="A6"/>
          <w:rFonts w:ascii="Tahoma" w:hAnsi="Tahoma" w:cs="Tahoma"/>
          <w:sz w:val="21"/>
          <w:szCs w:val="21"/>
        </w:rPr>
        <w:t xml:space="preserve"> </w:t>
      </w:r>
      <w:r w:rsidR="00BA23C0">
        <w:rPr>
          <w:rStyle w:val="A6"/>
          <w:rFonts w:ascii="Tahoma" w:hAnsi="Tahoma" w:cs="Tahoma"/>
          <w:sz w:val="21"/>
          <w:szCs w:val="21"/>
        </w:rPr>
        <w:t>The Medica visitors</w:t>
      </w:r>
      <w:r>
        <w:rPr>
          <w:rStyle w:val="A6"/>
          <w:rFonts w:ascii="Tahoma" w:hAnsi="Tahoma" w:cs="Tahoma"/>
          <w:sz w:val="21"/>
          <w:szCs w:val="21"/>
        </w:rPr>
        <w:t xml:space="preserve"> will have an opportunity to </w:t>
      </w:r>
      <w:r w:rsidR="00E421CC">
        <w:rPr>
          <w:rStyle w:val="A6"/>
          <w:rFonts w:ascii="Tahoma" w:hAnsi="Tahoma" w:cs="Tahoma"/>
          <w:sz w:val="21"/>
          <w:szCs w:val="21"/>
        </w:rPr>
        <w:t xml:space="preserve">examine Advantech’s new POC series, </w:t>
      </w:r>
      <w:r w:rsidR="00B20F2A">
        <w:rPr>
          <w:rStyle w:val="A6"/>
          <w:rFonts w:ascii="Tahoma" w:hAnsi="Tahoma" w:cs="Tahoma"/>
          <w:sz w:val="21"/>
          <w:szCs w:val="21"/>
        </w:rPr>
        <w:t xml:space="preserve">the fanless </w:t>
      </w:r>
      <w:r w:rsidR="00E421CC" w:rsidRPr="00525055">
        <w:rPr>
          <w:rFonts w:ascii="Tahoma" w:hAnsi="Tahoma" w:cs="Tahoma"/>
          <w:sz w:val="21"/>
          <w:szCs w:val="21"/>
        </w:rPr>
        <w:t xml:space="preserve">POC-S177, </w:t>
      </w:r>
      <w:r w:rsidR="00E421CC" w:rsidRPr="00525055">
        <w:rPr>
          <w:rFonts w:ascii="Tahoma" w:hAnsi="Tahoma" w:cs="Tahoma" w:hint="eastAsia"/>
          <w:sz w:val="21"/>
          <w:szCs w:val="21"/>
        </w:rPr>
        <w:t xml:space="preserve">POC-S197, POC-C177 </w:t>
      </w:r>
      <w:r w:rsidR="00E421CC" w:rsidRPr="00525055">
        <w:rPr>
          <w:rFonts w:ascii="Tahoma" w:hAnsi="Tahoma" w:cs="Tahoma"/>
          <w:sz w:val="21"/>
          <w:szCs w:val="21"/>
        </w:rPr>
        <w:t>and</w:t>
      </w:r>
      <w:r w:rsidR="00E421CC" w:rsidRPr="00525055">
        <w:rPr>
          <w:rFonts w:ascii="Tahoma" w:hAnsi="Tahoma" w:cs="Tahoma" w:hint="eastAsia"/>
          <w:sz w:val="21"/>
          <w:szCs w:val="21"/>
        </w:rPr>
        <w:t xml:space="preserve"> POC-C197</w:t>
      </w:r>
      <w:r w:rsidR="00B20F2A">
        <w:rPr>
          <w:rFonts w:ascii="Tahoma" w:hAnsi="Tahoma" w:cs="Tahoma"/>
          <w:sz w:val="21"/>
          <w:szCs w:val="21"/>
        </w:rPr>
        <w:t xml:space="preserve">; and </w:t>
      </w:r>
      <w:r w:rsidR="00383EA0">
        <w:rPr>
          <w:rFonts w:ascii="Tahoma" w:hAnsi="Tahoma" w:cs="Tahoma"/>
          <w:sz w:val="21"/>
          <w:szCs w:val="21"/>
        </w:rPr>
        <w:t>the high graphics performance POC-227.</w:t>
      </w:r>
    </w:p>
    <w:p w:rsidR="00131041" w:rsidRDefault="00131041" w:rsidP="00F11874">
      <w:pPr>
        <w:pStyle w:val="NoSpacing"/>
        <w:rPr>
          <w:rStyle w:val="A6"/>
          <w:rFonts w:ascii="Tahoma" w:hAnsi="Tahoma" w:cs="Tahoma"/>
          <w:sz w:val="21"/>
          <w:szCs w:val="21"/>
        </w:rPr>
      </w:pPr>
    </w:p>
    <w:p w:rsidR="00131041" w:rsidRPr="00525055" w:rsidRDefault="00131041" w:rsidP="00C871B7">
      <w:pPr>
        <w:spacing w:beforeLines="50" w:afterLines="50"/>
        <w:contextualSpacing/>
        <w:rPr>
          <w:rFonts w:ascii="Tahoma" w:hAnsi="Tahoma" w:cs="Tahoma"/>
          <w:b/>
          <w:sz w:val="21"/>
          <w:szCs w:val="21"/>
        </w:rPr>
      </w:pPr>
      <w:r w:rsidRPr="00525055">
        <w:rPr>
          <w:rFonts w:ascii="Tahoma" w:hAnsi="Tahoma" w:cs="Tahoma" w:hint="eastAsia"/>
          <w:b/>
          <w:sz w:val="21"/>
          <w:szCs w:val="21"/>
        </w:rPr>
        <w:t>Fanless &amp; Cost-Effective Point-of-Care Series</w:t>
      </w:r>
    </w:p>
    <w:p w:rsidR="00131041" w:rsidRDefault="00131041" w:rsidP="00C871B7">
      <w:pPr>
        <w:spacing w:beforeLines="50" w:afterLines="50"/>
        <w:contextualSpacing/>
        <w:jc w:val="both"/>
        <w:rPr>
          <w:rFonts w:ascii="Tahoma" w:hAnsi="Tahoma" w:cs="Tahoma"/>
          <w:sz w:val="21"/>
          <w:szCs w:val="21"/>
        </w:rPr>
      </w:pPr>
    </w:p>
    <w:p w:rsidR="00131041" w:rsidRDefault="00131041" w:rsidP="00C871B7">
      <w:pPr>
        <w:spacing w:beforeLines="50" w:afterLines="50"/>
        <w:contextualSpacing/>
        <w:jc w:val="both"/>
        <w:rPr>
          <w:rFonts w:ascii="Tahoma" w:hAnsi="Tahoma" w:cs="Tahoma"/>
          <w:sz w:val="21"/>
          <w:szCs w:val="21"/>
        </w:rPr>
      </w:pPr>
      <w:r>
        <w:rPr>
          <w:noProof/>
          <w:lang w:eastAsia="en-US"/>
        </w:rPr>
        <w:drawing>
          <wp:anchor distT="0" distB="0" distL="114300" distR="114300" simplePos="0" relativeHeight="251664384" behindDoc="0" locked="0" layoutInCell="1" allowOverlap="1">
            <wp:simplePos x="0" y="0"/>
            <wp:positionH relativeFrom="column">
              <wp:align>right</wp:align>
            </wp:positionH>
            <wp:positionV relativeFrom="paragraph">
              <wp:posOffset>75565</wp:posOffset>
            </wp:positionV>
            <wp:extent cx="732790" cy="667385"/>
            <wp:effectExtent l="19050" t="0" r="0" b="0"/>
            <wp:wrapSquare wrapText="bothSides"/>
            <wp:docPr id="20" name="Picture 5" descr="POC-S177-3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C-S177-3_S"/>
                    <pic:cNvPicPr>
                      <a:picLocks noChangeAspect="1" noChangeArrowheads="1"/>
                    </pic:cNvPicPr>
                  </pic:nvPicPr>
                  <pic:blipFill>
                    <a:blip r:embed="rId10" cstate="print"/>
                    <a:srcRect/>
                    <a:stretch>
                      <a:fillRect/>
                    </a:stretch>
                  </pic:blipFill>
                  <pic:spPr bwMode="auto">
                    <a:xfrm>
                      <a:off x="0" y="0"/>
                      <a:ext cx="732790" cy="667385"/>
                    </a:xfrm>
                    <a:prstGeom prst="rect">
                      <a:avLst/>
                    </a:prstGeom>
                    <a:noFill/>
                    <a:ln w="9525">
                      <a:noFill/>
                      <a:miter lim="800000"/>
                      <a:headEnd/>
                      <a:tailEnd/>
                    </a:ln>
                  </pic:spPr>
                </pic:pic>
              </a:graphicData>
            </a:graphic>
          </wp:anchor>
        </w:drawing>
      </w:r>
      <w:r w:rsidRPr="00525055">
        <w:rPr>
          <w:rFonts w:ascii="Tahoma" w:hAnsi="Tahoma" w:cs="Tahoma"/>
          <w:sz w:val="21"/>
          <w:szCs w:val="21"/>
        </w:rPr>
        <w:t xml:space="preserve">Advantech POC-S177, </w:t>
      </w:r>
      <w:r w:rsidRPr="00525055">
        <w:rPr>
          <w:rFonts w:ascii="Tahoma" w:hAnsi="Tahoma" w:cs="Tahoma" w:hint="eastAsia"/>
          <w:sz w:val="21"/>
          <w:szCs w:val="21"/>
        </w:rPr>
        <w:t xml:space="preserve">POC-S197, POC-C177 </w:t>
      </w:r>
      <w:r w:rsidRPr="00525055">
        <w:rPr>
          <w:rFonts w:ascii="Tahoma" w:hAnsi="Tahoma" w:cs="Tahoma"/>
          <w:sz w:val="21"/>
          <w:szCs w:val="21"/>
        </w:rPr>
        <w:t>and</w:t>
      </w:r>
      <w:r w:rsidRPr="00525055">
        <w:rPr>
          <w:rFonts w:ascii="Tahoma" w:hAnsi="Tahoma" w:cs="Tahoma" w:hint="eastAsia"/>
          <w:sz w:val="21"/>
          <w:szCs w:val="21"/>
        </w:rPr>
        <w:t xml:space="preserve"> POC-C197</w:t>
      </w:r>
      <w:r w:rsidRPr="00525055">
        <w:rPr>
          <w:rFonts w:ascii="Tahoma" w:hAnsi="Tahoma" w:cs="Tahoma"/>
          <w:sz w:val="21"/>
          <w:szCs w:val="21"/>
        </w:rPr>
        <w:t xml:space="preserve"> are </w:t>
      </w:r>
      <w:proofErr w:type="spellStart"/>
      <w:r w:rsidRPr="00525055">
        <w:rPr>
          <w:rFonts w:ascii="Tahoma" w:hAnsi="Tahoma" w:cs="Tahoma"/>
          <w:sz w:val="21"/>
          <w:szCs w:val="21"/>
        </w:rPr>
        <w:t>fanless</w:t>
      </w:r>
      <w:proofErr w:type="spellEnd"/>
      <w:r w:rsidRPr="00525055">
        <w:rPr>
          <w:rFonts w:ascii="Tahoma" w:hAnsi="Tahoma" w:cs="Tahoma"/>
          <w:sz w:val="21"/>
          <w:szCs w:val="21"/>
        </w:rPr>
        <w:t xml:space="preserve"> Point of Care terminals with 17” and 19” LCD displays capable of displaying 16.7 M colors. They feature a rich selection of I/O connectors. With separate design of the motherboard and I/O board, I/O customization can be done quickly and cost-effectively. The POC-S series terminals feature Intel® Core™2 Duo processors, with low power consumption, which are slim and ideal for ICU and nursing cart applications. The POC-C series feature Intel® Atom™ processors, providing a cost-effective way to add advanced technology to a healthcare facility.</w:t>
      </w:r>
    </w:p>
    <w:p w:rsidR="00383EA0" w:rsidRPr="00525055" w:rsidRDefault="00383EA0" w:rsidP="00383EA0">
      <w:pPr>
        <w:widowControl/>
        <w:spacing w:before="100" w:beforeAutospacing="1" w:after="100" w:afterAutospacing="1" w:line="360" w:lineRule="auto"/>
        <w:rPr>
          <w:rFonts w:ascii="Tahoma" w:hAnsi="Tahoma" w:cs="Tahoma"/>
          <w:b/>
          <w:bCs/>
          <w:kern w:val="0"/>
          <w:sz w:val="21"/>
          <w:szCs w:val="21"/>
        </w:rPr>
      </w:pPr>
      <w:r w:rsidRPr="00525055">
        <w:rPr>
          <w:rFonts w:ascii="Tahoma" w:hAnsi="Tahoma" w:cs="Tahoma"/>
          <w:b/>
          <w:bCs/>
          <w:kern w:val="0"/>
          <w:sz w:val="21"/>
          <w:szCs w:val="21"/>
        </w:rPr>
        <w:lastRenderedPageBreak/>
        <w:t>POC-227 Meets Video Capture Application Requirements for Digital Operating Room</w:t>
      </w:r>
    </w:p>
    <w:p w:rsidR="00383EA0" w:rsidRPr="00525055" w:rsidRDefault="00383EA0" w:rsidP="00C871B7">
      <w:pPr>
        <w:spacing w:beforeLines="50" w:afterLines="50"/>
        <w:contextualSpacing/>
        <w:rPr>
          <w:rFonts w:ascii="Tahoma" w:hAnsi="Tahoma" w:cs="Tahoma"/>
          <w:sz w:val="21"/>
          <w:szCs w:val="21"/>
        </w:rPr>
      </w:pPr>
      <w:r>
        <w:rPr>
          <w:noProof/>
          <w:lang w:eastAsia="en-US"/>
        </w:rPr>
        <w:drawing>
          <wp:anchor distT="0" distB="0" distL="114300" distR="114300" simplePos="0" relativeHeight="251666432" behindDoc="0" locked="0" layoutInCell="1" allowOverlap="1">
            <wp:simplePos x="0" y="0"/>
            <wp:positionH relativeFrom="column">
              <wp:align>right</wp:align>
            </wp:positionH>
            <wp:positionV relativeFrom="paragraph">
              <wp:posOffset>82550</wp:posOffset>
            </wp:positionV>
            <wp:extent cx="1068705" cy="941705"/>
            <wp:effectExtent l="19050" t="0" r="0" b="0"/>
            <wp:wrapSquare wrapText="bothSides"/>
            <wp:docPr id="22" name="Picture 7" descr="POC-227-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C-227-1_S"/>
                    <pic:cNvPicPr>
                      <a:picLocks noChangeAspect="1" noChangeArrowheads="1"/>
                    </pic:cNvPicPr>
                  </pic:nvPicPr>
                  <pic:blipFill>
                    <a:blip r:embed="rId11" cstate="print"/>
                    <a:srcRect/>
                    <a:stretch>
                      <a:fillRect/>
                    </a:stretch>
                  </pic:blipFill>
                  <pic:spPr bwMode="auto">
                    <a:xfrm>
                      <a:off x="0" y="0"/>
                      <a:ext cx="1068705" cy="941705"/>
                    </a:xfrm>
                    <a:prstGeom prst="rect">
                      <a:avLst/>
                    </a:prstGeom>
                    <a:noFill/>
                    <a:ln w="9525">
                      <a:noFill/>
                      <a:miter lim="800000"/>
                      <a:headEnd/>
                      <a:tailEnd/>
                    </a:ln>
                  </pic:spPr>
                </pic:pic>
              </a:graphicData>
            </a:graphic>
          </wp:anchor>
        </w:drawing>
      </w:r>
      <w:r w:rsidRPr="00525055">
        <w:rPr>
          <w:rFonts w:ascii="Tahoma" w:hAnsi="Tahoma" w:cs="Tahoma"/>
          <w:sz w:val="21"/>
          <w:szCs w:val="21"/>
        </w:rPr>
        <w:t xml:space="preserve">Advantech POC-227, with a P-MVA, 22 inch WSXGA, wide-angle LCD display, has an optional MXM graphics card which enhances 3D performance by 150%. It is ideal for video capture applications. Additionally, POC-227 has a built-in SAW touchscreen for high accuracy, a smart card reader to verify identities, and optional IEEE 802.11b/g/n WLAN modules. The POC-27 also supports Intel® AMT 4.0 remote computer diagnosis and repair. This medical device is suitable for every phase of the </w:t>
      </w:r>
      <w:proofErr w:type="spellStart"/>
      <w:r w:rsidRPr="00525055">
        <w:rPr>
          <w:rFonts w:ascii="Tahoma" w:hAnsi="Tahoma" w:cs="Tahoma"/>
          <w:sz w:val="21"/>
          <w:szCs w:val="21"/>
        </w:rPr>
        <w:t>perioperative</w:t>
      </w:r>
      <w:proofErr w:type="spellEnd"/>
      <w:r w:rsidRPr="00525055">
        <w:rPr>
          <w:rFonts w:ascii="Tahoma" w:hAnsi="Tahoma" w:cs="Tahoma"/>
          <w:sz w:val="21"/>
          <w:szCs w:val="21"/>
        </w:rPr>
        <w:t xml:space="preserve"> process, integrating applications in the clinic such as anesthesia, vital signs, and other patient monitoring functions.</w:t>
      </w:r>
    </w:p>
    <w:p w:rsidR="00F11874" w:rsidRPr="001059A2" w:rsidRDefault="00F11874" w:rsidP="00C871B7">
      <w:pPr>
        <w:spacing w:beforeLines="50" w:afterLines="50"/>
        <w:contextualSpacing/>
        <w:jc w:val="both"/>
        <w:rPr>
          <w:rFonts w:ascii="Tahoma" w:hAnsi="Tahoma" w:cs="Tahoma"/>
          <w:sz w:val="21"/>
          <w:szCs w:val="21"/>
        </w:rPr>
      </w:pPr>
    </w:p>
    <w:p w:rsidR="00F11874" w:rsidRPr="006A12BF" w:rsidRDefault="00F11874" w:rsidP="00C871B7">
      <w:pPr>
        <w:spacing w:beforeLines="50" w:afterLines="50"/>
        <w:contextualSpacing/>
        <w:rPr>
          <w:rFonts w:ascii="Tahoma" w:hAnsi="Tahoma" w:cs="Tahoma"/>
          <w:b/>
          <w:sz w:val="21"/>
          <w:szCs w:val="21"/>
        </w:rPr>
      </w:pPr>
      <w:r>
        <w:rPr>
          <w:rFonts w:ascii="Tahoma" w:hAnsi="Tahoma" w:cs="Tahoma"/>
          <w:b/>
          <w:sz w:val="21"/>
          <w:szCs w:val="21"/>
        </w:rPr>
        <w:t>Advantech’s Presence at Partners’ Booths</w:t>
      </w:r>
    </w:p>
    <w:p w:rsidR="00F11874" w:rsidRDefault="00F11874" w:rsidP="00F11874">
      <w:pPr>
        <w:pStyle w:val="NoSpacing"/>
        <w:rPr>
          <w:rFonts w:ascii="Tahoma" w:hAnsi="Tahoma" w:cs="Tahoma"/>
          <w:sz w:val="21"/>
          <w:szCs w:val="21"/>
        </w:rPr>
      </w:pPr>
      <w:r>
        <w:rPr>
          <w:rFonts w:ascii="Tahoma" w:hAnsi="Tahoma" w:cs="Tahoma"/>
          <w:sz w:val="21"/>
          <w:szCs w:val="21"/>
        </w:rPr>
        <w:t>In addition to Advantech’s booth at Medica, channel partners will also be demonstrating some of their Advantech medical systems solutions, broadening the overall scope of possibilities. Products presented by partners will include PPDMS, IT software, and mounting solutions. The table below shows a list of partners’ products to be shown:</w:t>
      </w:r>
      <w:r w:rsidDel="008A221F">
        <w:rPr>
          <w:rFonts w:ascii="Tahoma" w:hAnsi="Tahoma" w:cs="Tahoma"/>
          <w:sz w:val="21"/>
          <w:szCs w:val="21"/>
        </w:rPr>
        <w:t xml:space="preserve"> </w:t>
      </w:r>
      <w:r>
        <w:rPr>
          <w:rFonts w:ascii="Tahoma" w:hAnsi="Tahoma" w:cs="Tahoma" w:hint="eastAsia"/>
          <w:sz w:val="21"/>
          <w:szCs w:val="21"/>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3298"/>
        <w:gridCol w:w="2384"/>
      </w:tblGrid>
      <w:tr w:rsidR="00F11874" w:rsidRPr="00A65066" w:rsidTr="0025698C">
        <w:tc>
          <w:tcPr>
            <w:tcW w:w="2840" w:type="dxa"/>
            <w:shd w:val="clear" w:color="auto" w:fill="C4BC96"/>
          </w:tcPr>
          <w:p w:rsidR="00F11874" w:rsidRPr="00525055" w:rsidRDefault="00F11874" w:rsidP="0025698C">
            <w:pPr>
              <w:pStyle w:val="NoSpacing"/>
              <w:jc w:val="center"/>
              <w:rPr>
                <w:rFonts w:ascii="Tahoma" w:hAnsi="Tahoma" w:cs="Tahoma"/>
                <w:sz w:val="20"/>
                <w:szCs w:val="20"/>
              </w:rPr>
            </w:pPr>
            <w:r w:rsidRPr="00525055">
              <w:rPr>
                <w:rFonts w:ascii="Tahoma" w:hAnsi="Tahoma" w:cs="Tahoma"/>
                <w:b/>
                <w:bCs/>
                <w:sz w:val="20"/>
                <w:szCs w:val="20"/>
              </w:rPr>
              <w:t>Product</w:t>
            </w:r>
          </w:p>
        </w:tc>
        <w:tc>
          <w:tcPr>
            <w:tcW w:w="3298" w:type="dxa"/>
            <w:shd w:val="clear" w:color="auto" w:fill="C4BC96"/>
          </w:tcPr>
          <w:p w:rsidR="00F11874" w:rsidRPr="00525055" w:rsidRDefault="00F11874" w:rsidP="0025698C">
            <w:pPr>
              <w:pStyle w:val="NoSpacing"/>
              <w:jc w:val="center"/>
              <w:rPr>
                <w:rFonts w:ascii="Tahoma" w:hAnsi="Tahoma" w:cs="Tahoma"/>
                <w:sz w:val="20"/>
                <w:szCs w:val="20"/>
              </w:rPr>
            </w:pPr>
            <w:r w:rsidRPr="00525055">
              <w:rPr>
                <w:rFonts w:ascii="Tahoma" w:hAnsi="Tahoma" w:cs="Tahoma"/>
                <w:b/>
                <w:bCs/>
                <w:sz w:val="20"/>
                <w:szCs w:val="20"/>
              </w:rPr>
              <w:t>Partner</w:t>
            </w:r>
          </w:p>
        </w:tc>
        <w:tc>
          <w:tcPr>
            <w:tcW w:w="2384" w:type="dxa"/>
            <w:shd w:val="clear" w:color="auto" w:fill="C4BC96"/>
          </w:tcPr>
          <w:p w:rsidR="00F11874" w:rsidRPr="00A65066" w:rsidRDefault="00F11874" w:rsidP="0025698C">
            <w:pPr>
              <w:pStyle w:val="NoSpacing"/>
              <w:jc w:val="center"/>
              <w:rPr>
                <w:rFonts w:ascii="Tahoma" w:hAnsi="Tahoma" w:cs="Tahoma"/>
                <w:b/>
                <w:sz w:val="21"/>
                <w:szCs w:val="21"/>
              </w:rPr>
            </w:pPr>
            <w:r>
              <w:rPr>
                <w:rFonts w:ascii="Tahoma" w:hAnsi="Tahoma" w:cs="Tahoma" w:hint="eastAsia"/>
                <w:b/>
                <w:sz w:val="21"/>
                <w:szCs w:val="21"/>
              </w:rPr>
              <w:t>Hall/</w:t>
            </w:r>
            <w:r w:rsidRPr="00A65066">
              <w:rPr>
                <w:rFonts w:ascii="Tahoma" w:hAnsi="Tahoma" w:cs="Tahoma"/>
                <w:b/>
                <w:sz w:val="21"/>
                <w:szCs w:val="21"/>
              </w:rPr>
              <w:t>Booth</w:t>
            </w:r>
            <w:r>
              <w:rPr>
                <w:rFonts w:ascii="Tahoma" w:hAnsi="Tahoma" w:cs="Tahoma" w:hint="eastAsia"/>
                <w:b/>
                <w:sz w:val="21"/>
                <w:szCs w:val="21"/>
              </w:rPr>
              <w:t xml:space="preserve"> No.</w:t>
            </w:r>
          </w:p>
        </w:tc>
      </w:tr>
      <w:tr w:rsidR="00F11874" w:rsidRPr="00A65066" w:rsidTr="0025698C">
        <w:trPr>
          <w:trHeight w:val="317"/>
        </w:trPr>
        <w:tc>
          <w:tcPr>
            <w:tcW w:w="2840" w:type="dxa"/>
          </w:tcPr>
          <w:p w:rsidR="00F11874" w:rsidRPr="00525055" w:rsidRDefault="00F11874" w:rsidP="00F451F7">
            <w:pPr>
              <w:pStyle w:val="NoSpacing"/>
              <w:rPr>
                <w:rFonts w:ascii="Tahoma" w:hAnsi="Tahoma" w:cs="Tahoma"/>
                <w:sz w:val="20"/>
                <w:szCs w:val="20"/>
              </w:rPr>
            </w:pPr>
            <w:r w:rsidRPr="00525055">
              <w:rPr>
                <w:rFonts w:ascii="Tahoma" w:hAnsi="Tahoma" w:cs="Tahoma"/>
                <w:b/>
                <w:bCs/>
                <w:sz w:val="20"/>
                <w:szCs w:val="20"/>
              </w:rPr>
              <w:t>PIT-1702</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 xml:space="preserve">Novar </w:t>
            </w:r>
            <w:r>
              <w:rPr>
                <w:noProof/>
                <w:sz w:val="20"/>
                <w:szCs w:val="20"/>
                <w:lang w:eastAsia="en-US"/>
              </w:rPr>
              <w:drawing>
                <wp:inline distT="0" distB="0" distL="0" distR="0">
                  <wp:extent cx="861060" cy="335280"/>
                  <wp:effectExtent l="19050" t="0" r="0" b="0"/>
                  <wp:docPr id="11" name="Picture 1" descr="221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1198"/>
                          <pic:cNvPicPr>
                            <a:picLocks noChangeAspect="1" noChangeArrowheads="1"/>
                          </pic:cNvPicPr>
                        </pic:nvPicPr>
                        <pic:blipFill>
                          <a:blip r:embed="rId12" cstate="print"/>
                          <a:srcRect/>
                          <a:stretch>
                            <a:fillRect/>
                          </a:stretch>
                        </pic:blipFill>
                        <pic:spPr bwMode="auto">
                          <a:xfrm>
                            <a:off x="0" y="0"/>
                            <a:ext cx="861060" cy="3352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Hall14/A50</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PIT-1502W</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Lincor</w:t>
            </w:r>
            <w:r w:rsidRPr="00525055">
              <w:rPr>
                <w:sz w:val="20"/>
                <w:szCs w:val="20"/>
              </w:rPr>
              <w:t xml:space="preserve"> </w:t>
            </w:r>
            <w:r>
              <w:rPr>
                <w:noProof/>
                <w:sz w:val="20"/>
                <w:szCs w:val="20"/>
                <w:lang w:eastAsia="en-US"/>
              </w:rPr>
              <w:drawing>
                <wp:inline distT="0" distB="0" distL="0" distR="0">
                  <wp:extent cx="769620" cy="289560"/>
                  <wp:effectExtent l="19050" t="0" r="0" b="0"/>
                  <wp:docPr id="10" name="Picture 2" descr="2209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09983"/>
                          <pic:cNvPicPr>
                            <a:picLocks noChangeAspect="1" noChangeArrowheads="1"/>
                          </pic:cNvPicPr>
                        </pic:nvPicPr>
                        <pic:blipFill>
                          <a:blip r:embed="rId13" cstate="print"/>
                          <a:srcRect/>
                          <a:stretch>
                            <a:fillRect/>
                          </a:stretch>
                        </pic:blipFill>
                        <pic:spPr bwMode="auto">
                          <a:xfrm>
                            <a:off x="0" y="0"/>
                            <a:ext cx="769620" cy="28956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Hall15/A19</w:t>
            </w:r>
          </w:p>
        </w:tc>
      </w:tr>
      <w:tr w:rsidR="00F11874" w:rsidRPr="00A65066" w:rsidTr="0025698C">
        <w:tc>
          <w:tcPr>
            <w:tcW w:w="2840" w:type="dxa"/>
          </w:tcPr>
          <w:p w:rsidR="00F11874" w:rsidRPr="00525055" w:rsidRDefault="00F11874" w:rsidP="00F451F7">
            <w:pPr>
              <w:pStyle w:val="NoSpacing"/>
              <w:rPr>
                <w:rFonts w:ascii="Tahoma" w:hAnsi="Tahoma" w:cs="Tahoma"/>
                <w:sz w:val="20"/>
                <w:szCs w:val="20"/>
              </w:rPr>
            </w:pPr>
            <w:r w:rsidRPr="00525055">
              <w:rPr>
                <w:rFonts w:ascii="Tahoma" w:hAnsi="Tahoma" w:cs="Tahoma"/>
                <w:b/>
                <w:bCs/>
                <w:sz w:val="20"/>
                <w:szCs w:val="20"/>
              </w:rPr>
              <w:t>PIT-1702</w:t>
            </w:r>
          </w:p>
        </w:tc>
        <w:tc>
          <w:tcPr>
            <w:tcW w:w="3298" w:type="dxa"/>
          </w:tcPr>
          <w:p w:rsidR="00F11874" w:rsidRPr="00525055" w:rsidRDefault="00F11874" w:rsidP="0025698C">
            <w:pPr>
              <w:pStyle w:val="NoSpacing"/>
              <w:rPr>
                <w:rFonts w:ascii="Times New Roman" w:eastAsia="Times New Roman" w:hAnsi="Times New Roman"/>
                <w:kern w:val="0"/>
                <w:sz w:val="20"/>
                <w:szCs w:val="20"/>
              </w:rPr>
            </w:pPr>
            <w:r w:rsidRPr="00525055">
              <w:rPr>
                <w:rFonts w:ascii="Tahoma" w:hAnsi="Tahoma" w:cs="Tahoma"/>
                <w:b/>
                <w:bCs/>
                <w:sz w:val="20"/>
                <w:szCs w:val="20"/>
              </w:rPr>
              <w:t>Clinicall</w:t>
            </w:r>
            <w:r>
              <w:rPr>
                <w:rFonts w:ascii="Times New Roman" w:eastAsia="Times New Roman" w:hAnsi="Times New Roman"/>
                <w:noProof/>
                <w:color w:val="0000FF"/>
                <w:kern w:val="0"/>
                <w:sz w:val="20"/>
                <w:szCs w:val="20"/>
                <w:lang w:eastAsia="en-US"/>
              </w:rPr>
              <w:drawing>
                <wp:inline distT="0" distB="0" distL="0" distR="0">
                  <wp:extent cx="769620" cy="297180"/>
                  <wp:effectExtent l="19050" t="0" r="0" b="0"/>
                  <wp:docPr id="2" name="Picture 3" descr="clinicall vertriebs gmbh">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nicall vertriebs gmbh"/>
                          <pic:cNvPicPr>
                            <a:picLocks noChangeAspect="1" noChangeArrowheads="1"/>
                          </pic:cNvPicPr>
                        </pic:nvPicPr>
                        <pic:blipFill>
                          <a:blip r:embed="rId15" cstate="print"/>
                          <a:srcRect/>
                          <a:stretch>
                            <a:fillRect/>
                          </a:stretch>
                        </pic:blipFill>
                        <pic:spPr bwMode="auto">
                          <a:xfrm>
                            <a:off x="0" y="0"/>
                            <a:ext cx="769620" cy="2971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Hall14/B64</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PIT-1501W</w:t>
            </w:r>
          </w:p>
        </w:tc>
        <w:tc>
          <w:tcPr>
            <w:tcW w:w="3298" w:type="dxa"/>
          </w:tcPr>
          <w:p w:rsidR="00F11874" w:rsidRPr="00525055" w:rsidRDefault="00F11874" w:rsidP="0025698C">
            <w:pPr>
              <w:pStyle w:val="NoSpacing"/>
              <w:rPr>
                <w:rFonts w:ascii="Tahoma" w:hAnsi="Tahoma" w:cs="Tahoma"/>
                <w:sz w:val="20"/>
                <w:szCs w:val="20"/>
              </w:rPr>
            </w:pPr>
            <w:proofErr w:type="spellStart"/>
            <w:r w:rsidRPr="00525055">
              <w:rPr>
                <w:rFonts w:ascii="Tahoma" w:hAnsi="Tahoma" w:cs="Tahoma"/>
                <w:b/>
                <w:bCs/>
                <w:sz w:val="20"/>
                <w:szCs w:val="20"/>
              </w:rPr>
              <w:t>Mgate</w:t>
            </w:r>
            <w:proofErr w:type="spellEnd"/>
            <w:r>
              <w:rPr>
                <w:noProof/>
                <w:sz w:val="20"/>
                <w:szCs w:val="20"/>
                <w:lang w:eastAsia="en-US"/>
              </w:rPr>
              <w:drawing>
                <wp:inline distT="0" distB="0" distL="0" distR="0">
                  <wp:extent cx="868680" cy="327660"/>
                  <wp:effectExtent l="19050" t="0" r="7620" b="0"/>
                  <wp:docPr id="4" name="Picture 4" descr="%7Bportrait_image%7D%7B1961%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Bportrait_image%7D%7B1961%7D%7B%7D"/>
                          <pic:cNvPicPr>
                            <a:picLocks noChangeAspect="1" noChangeArrowheads="1"/>
                          </pic:cNvPicPr>
                        </pic:nvPicPr>
                        <pic:blipFill>
                          <a:blip r:embed="rId16" cstate="print"/>
                          <a:srcRect/>
                          <a:stretch>
                            <a:fillRect/>
                          </a:stretch>
                        </pic:blipFill>
                        <pic:spPr bwMode="auto">
                          <a:xfrm>
                            <a:off x="0" y="0"/>
                            <a:ext cx="868680" cy="32766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Hall15/B56</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PIT-1501W</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Qualilife</w:t>
            </w:r>
            <w:r>
              <w:rPr>
                <w:rFonts w:ascii="Tahoma" w:hAnsi="Tahoma" w:cs="Tahoma" w:hint="eastAsia"/>
                <w:b/>
                <w:bCs/>
                <w:sz w:val="20"/>
                <w:szCs w:val="20"/>
              </w:rPr>
              <w:t xml:space="preserve"> </w:t>
            </w:r>
            <w:r>
              <w:rPr>
                <w:noProof/>
                <w:sz w:val="20"/>
                <w:szCs w:val="20"/>
                <w:lang w:eastAsia="en-US"/>
              </w:rPr>
              <w:drawing>
                <wp:inline distT="0" distB="0" distL="0" distR="0">
                  <wp:extent cx="594360" cy="304800"/>
                  <wp:effectExtent l="19050" t="0" r="0" b="0"/>
                  <wp:docPr id="5" name="Picture 5" descr="%7Bportrait_image%7D%7B5272%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Bportrait_image%7D%7B5272%7D%7B%7D"/>
                          <pic:cNvPicPr>
                            <a:picLocks noChangeAspect="1" noChangeArrowheads="1"/>
                          </pic:cNvPicPr>
                        </pic:nvPicPr>
                        <pic:blipFill>
                          <a:blip r:embed="rId17" cstate="print"/>
                          <a:srcRect/>
                          <a:stretch>
                            <a:fillRect/>
                          </a:stretch>
                        </pic:blipFill>
                        <pic:spPr bwMode="auto">
                          <a:xfrm>
                            <a:off x="0" y="0"/>
                            <a:ext cx="594360" cy="30480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Hall15/A48</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POC</w:t>
            </w:r>
            <w:r w:rsidRPr="00525055">
              <w:rPr>
                <w:rFonts w:ascii="Tahoma" w:hAnsi="Tahoma" w:cs="Tahoma"/>
                <w:b/>
                <w:bCs/>
                <w:sz w:val="20"/>
                <w:szCs w:val="20"/>
              </w:rPr>
              <w:tab/>
              <w:t>-S</w:t>
            </w:r>
            <w:r w:rsidR="00F451F7">
              <w:rPr>
                <w:rFonts w:ascii="Tahoma" w:hAnsi="Tahoma" w:cs="Tahoma"/>
                <w:b/>
                <w:bCs/>
                <w:sz w:val="20"/>
                <w:szCs w:val="20"/>
              </w:rPr>
              <w:t>157</w:t>
            </w:r>
          </w:p>
        </w:tc>
        <w:tc>
          <w:tcPr>
            <w:tcW w:w="3298" w:type="dxa"/>
          </w:tcPr>
          <w:p w:rsidR="00F11874" w:rsidRPr="00525055" w:rsidRDefault="00F11874" w:rsidP="0025698C">
            <w:pPr>
              <w:pStyle w:val="NoSpacing"/>
              <w:rPr>
                <w:rFonts w:ascii="Times New Roman" w:eastAsia="Times New Roman" w:hAnsi="Times New Roman"/>
                <w:kern w:val="0"/>
                <w:sz w:val="20"/>
                <w:szCs w:val="20"/>
              </w:rPr>
            </w:pPr>
            <w:r w:rsidRPr="00525055">
              <w:rPr>
                <w:rFonts w:ascii="Tahoma" w:hAnsi="Tahoma" w:cs="Tahoma"/>
                <w:b/>
                <w:bCs/>
                <w:sz w:val="20"/>
                <w:szCs w:val="20"/>
              </w:rPr>
              <w:t>GCX</w:t>
            </w:r>
            <w:r>
              <w:rPr>
                <w:rFonts w:ascii="Tahoma" w:hAnsi="Tahoma" w:cs="Tahoma" w:hint="eastAsia"/>
                <w:b/>
                <w:bCs/>
                <w:sz w:val="20"/>
                <w:szCs w:val="20"/>
              </w:rPr>
              <w:t xml:space="preserve"> </w:t>
            </w:r>
            <w:r>
              <w:rPr>
                <w:rFonts w:ascii="Times New Roman" w:eastAsia="Times New Roman" w:hAnsi="Times New Roman"/>
                <w:noProof/>
                <w:color w:val="0000FF"/>
                <w:kern w:val="0"/>
                <w:sz w:val="20"/>
                <w:szCs w:val="20"/>
                <w:lang w:eastAsia="en-US"/>
              </w:rPr>
              <w:drawing>
                <wp:inline distT="0" distB="0" distL="0" distR="0">
                  <wp:extent cx="769620" cy="297180"/>
                  <wp:effectExtent l="19050" t="0" r="0" b="0"/>
                  <wp:docPr id="6" name="Picture 6" descr="gcx corporati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x corporation"/>
                          <pic:cNvPicPr>
                            <a:picLocks noChangeAspect="1" noChangeArrowheads="1"/>
                          </pic:cNvPicPr>
                        </pic:nvPicPr>
                        <pic:blipFill>
                          <a:blip r:embed="rId19" cstate="print"/>
                          <a:srcRect/>
                          <a:stretch>
                            <a:fillRect/>
                          </a:stretch>
                        </pic:blipFill>
                        <pic:spPr bwMode="auto">
                          <a:xfrm>
                            <a:off x="0" y="0"/>
                            <a:ext cx="769620" cy="2971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Hall13/A29</w:t>
            </w:r>
          </w:p>
        </w:tc>
      </w:tr>
      <w:tr w:rsidR="00F11874" w:rsidRPr="00A65066" w:rsidTr="0025698C">
        <w:trPr>
          <w:trHeight w:val="425"/>
        </w:trPr>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POC</w:t>
            </w:r>
            <w:r w:rsidRPr="00525055">
              <w:rPr>
                <w:rFonts w:ascii="Tahoma" w:hAnsi="Tahoma" w:cs="Tahoma"/>
                <w:b/>
                <w:bCs/>
                <w:sz w:val="20"/>
                <w:szCs w:val="20"/>
              </w:rPr>
              <w:tab/>
              <w:t>-S196</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CIM-med</w:t>
            </w:r>
            <w:r>
              <w:rPr>
                <w:rFonts w:ascii="Tahoma" w:hAnsi="Tahoma" w:cs="Tahoma" w:hint="eastAsia"/>
                <w:b/>
                <w:bCs/>
                <w:sz w:val="20"/>
                <w:szCs w:val="20"/>
              </w:rPr>
              <w:t xml:space="preserve"> </w:t>
            </w:r>
            <w:r>
              <w:rPr>
                <w:noProof/>
                <w:sz w:val="20"/>
                <w:szCs w:val="20"/>
                <w:lang w:eastAsia="en-US"/>
              </w:rPr>
              <w:drawing>
                <wp:inline distT="0" distB="0" distL="0" distR="0">
                  <wp:extent cx="708660" cy="563880"/>
                  <wp:effectExtent l="19050" t="0" r="0" b="0"/>
                  <wp:docPr id="7" name="Picture 7" descr="%7Bportrait_image%7D%7B1166%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Bportrait_image%7D%7B1166%7D%7B%7D"/>
                          <pic:cNvPicPr>
                            <a:picLocks noChangeAspect="1" noChangeArrowheads="1"/>
                          </pic:cNvPicPr>
                        </pic:nvPicPr>
                        <pic:blipFill>
                          <a:blip r:embed="rId20" cstate="print"/>
                          <a:srcRect/>
                          <a:stretch>
                            <a:fillRect/>
                          </a:stretch>
                        </pic:blipFill>
                        <pic:spPr bwMode="auto">
                          <a:xfrm>
                            <a:off x="0" y="0"/>
                            <a:ext cx="708660" cy="56388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Hall13/C21</w:t>
            </w:r>
          </w:p>
        </w:tc>
      </w:tr>
      <w:tr w:rsidR="00F11874" w:rsidRPr="00A65066" w:rsidTr="0025698C">
        <w:tc>
          <w:tcPr>
            <w:tcW w:w="2840"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MICA-101</w:t>
            </w:r>
          </w:p>
        </w:tc>
        <w:tc>
          <w:tcPr>
            <w:tcW w:w="3298" w:type="dxa"/>
          </w:tcPr>
          <w:p w:rsidR="00F11874" w:rsidRPr="00525055" w:rsidRDefault="00F11874" w:rsidP="0025698C">
            <w:pPr>
              <w:pStyle w:val="NoSpacing"/>
              <w:rPr>
                <w:rFonts w:ascii="Tahoma" w:hAnsi="Tahoma" w:cs="Tahoma"/>
                <w:sz w:val="20"/>
                <w:szCs w:val="20"/>
              </w:rPr>
            </w:pPr>
            <w:r w:rsidRPr="00525055">
              <w:rPr>
                <w:rFonts w:ascii="Tahoma" w:hAnsi="Tahoma" w:cs="Tahoma"/>
                <w:b/>
                <w:bCs/>
                <w:sz w:val="20"/>
                <w:szCs w:val="20"/>
              </w:rPr>
              <w:t>Man &amp; Machine</w:t>
            </w:r>
            <w:r>
              <w:rPr>
                <w:rFonts w:ascii="Tahoma" w:hAnsi="Tahoma" w:cs="Tahoma" w:hint="eastAsia"/>
                <w:b/>
                <w:bCs/>
                <w:sz w:val="20"/>
                <w:szCs w:val="20"/>
              </w:rPr>
              <w:t xml:space="preserve"> </w:t>
            </w:r>
            <w:r>
              <w:rPr>
                <w:noProof/>
                <w:sz w:val="20"/>
                <w:szCs w:val="20"/>
                <w:lang w:eastAsia="en-US"/>
              </w:rPr>
              <w:drawing>
                <wp:inline distT="0" distB="0" distL="0" distR="0">
                  <wp:extent cx="518160" cy="647700"/>
                  <wp:effectExtent l="19050" t="0" r="0" b="0"/>
                  <wp:docPr id="8" name="Picture 8" descr="%7Bportrait_image%7D%7B903%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Bportrait_image%7D%7B903%7D%7B%7D"/>
                          <pic:cNvPicPr>
                            <a:picLocks noChangeAspect="1" noChangeArrowheads="1"/>
                          </pic:cNvPicPr>
                        </pic:nvPicPr>
                        <pic:blipFill>
                          <a:blip r:embed="rId21" cstate="print"/>
                          <a:srcRect/>
                          <a:stretch>
                            <a:fillRect/>
                          </a:stretch>
                        </pic:blipFill>
                        <pic:spPr bwMode="auto">
                          <a:xfrm>
                            <a:off x="0" y="0"/>
                            <a:ext cx="518160" cy="64770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sz w:val="21"/>
                <w:szCs w:val="21"/>
              </w:rPr>
            </w:pPr>
            <w:r w:rsidRPr="00A65066">
              <w:rPr>
                <w:rFonts w:ascii="Tahoma" w:hAnsi="Tahoma" w:cs="Tahoma"/>
                <w:b/>
                <w:bCs/>
                <w:sz w:val="21"/>
                <w:szCs w:val="21"/>
              </w:rPr>
              <w:t>Hall15/E01</w:t>
            </w:r>
          </w:p>
        </w:tc>
      </w:tr>
      <w:tr w:rsidR="00F11874" w:rsidRPr="00A65066" w:rsidTr="0025698C">
        <w:tc>
          <w:tcPr>
            <w:tcW w:w="2840" w:type="dxa"/>
          </w:tcPr>
          <w:p w:rsidR="00F11874" w:rsidRPr="00525055" w:rsidRDefault="00F11874" w:rsidP="0025698C">
            <w:pPr>
              <w:pStyle w:val="NoSpacing"/>
              <w:rPr>
                <w:rFonts w:ascii="Tahoma" w:hAnsi="Tahoma" w:cs="Tahoma"/>
                <w:b/>
                <w:bCs/>
                <w:sz w:val="20"/>
                <w:szCs w:val="20"/>
              </w:rPr>
            </w:pPr>
            <w:r w:rsidRPr="00525055">
              <w:rPr>
                <w:rFonts w:ascii="Tahoma" w:hAnsi="Tahoma" w:cs="Tahoma"/>
                <w:b/>
                <w:bCs/>
                <w:sz w:val="20"/>
                <w:szCs w:val="20"/>
              </w:rPr>
              <w:lastRenderedPageBreak/>
              <w:t>MICA-101</w:t>
            </w:r>
          </w:p>
        </w:tc>
        <w:tc>
          <w:tcPr>
            <w:tcW w:w="3298" w:type="dxa"/>
          </w:tcPr>
          <w:p w:rsidR="00F11874" w:rsidRPr="00525055" w:rsidRDefault="00F11874" w:rsidP="0025698C">
            <w:pPr>
              <w:pStyle w:val="NoSpacing"/>
              <w:rPr>
                <w:rFonts w:ascii="Tahoma" w:hAnsi="Tahoma" w:cs="Tahoma"/>
                <w:b/>
                <w:bCs/>
                <w:sz w:val="20"/>
                <w:szCs w:val="20"/>
              </w:rPr>
            </w:pPr>
            <w:r w:rsidRPr="00525055">
              <w:rPr>
                <w:rFonts w:ascii="Tahoma" w:hAnsi="Tahoma" w:cs="Tahoma"/>
                <w:b/>
                <w:bCs/>
                <w:sz w:val="20"/>
                <w:szCs w:val="20"/>
              </w:rPr>
              <w:t>iMDsoft</w:t>
            </w:r>
            <w:r>
              <w:rPr>
                <w:rFonts w:ascii="Tahoma" w:hAnsi="Tahoma" w:cs="Tahoma" w:hint="eastAsia"/>
                <w:b/>
                <w:bCs/>
                <w:sz w:val="20"/>
                <w:szCs w:val="20"/>
              </w:rPr>
              <w:t xml:space="preserve"> </w:t>
            </w:r>
            <w:r>
              <w:rPr>
                <w:noProof/>
                <w:sz w:val="20"/>
                <w:szCs w:val="20"/>
                <w:lang w:eastAsia="en-US"/>
              </w:rPr>
              <w:drawing>
                <wp:inline distT="0" distB="0" distL="0" distR="0">
                  <wp:extent cx="1074420" cy="434340"/>
                  <wp:effectExtent l="19050" t="0" r="0" b="0"/>
                  <wp:docPr id="9" name="Picture 9" descr="%7Bportrait_image%7D%7B604%7D%7B%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Bportrait_image%7D%7B604%7D%7B%7D"/>
                          <pic:cNvPicPr>
                            <a:picLocks noChangeAspect="1" noChangeArrowheads="1"/>
                          </pic:cNvPicPr>
                        </pic:nvPicPr>
                        <pic:blipFill>
                          <a:blip r:embed="rId22" cstate="print"/>
                          <a:srcRect/>
                          <a:stretch>
                            <a:fillRect/>
                          </a:stretch>
                        </pic:blipFill>
                        <pic:spPr bwMode="auto">
                          <a:xfrm>
                            <a:off x="0" y="0"/>
                            <a:ext cx="1074420" cy="434340"/>
                          </a:xfrm>
                          <a:prstGeom prst="rect">
                            <a:avLst/>
                          </a:prstGeom>
                          <a:noFill/>
                          <a:ln w="9525">
                            <a:noFill/>
                            <a:miter lim="800000"/>
                            <a:headEnd/>
                            <a:tailEnd/>
                          </a:ln>
                        </pic:spPr>
                      </pic:pic>
                    </a:graphicData>
                  </a:graphic>
                </wp:inline>
              </w:drawing>
            </w:r>
          </w:p>
        </w:tc>
        <w:tc>
          <w:tcPr>
            <w:tcW w:w="2384" w:type="dxa"/>
          </w:tcPr>
          <w:p w:rsidR="00F11874" w:rsidRPr="00A65066" w:rsidRDefault="00F11874" w:rsidP="0025698C">
            <w:pPr>
              <w:pStyle w:val="NoSpacing"/>
              <w:rPr>
                <w:rFonts w:ascii="Tahoma" w:hAnsi="Tahoma" w:cs="Tahoma"/>
                <w:b/>
                <w:bCs/>
                <w:sz w:val="21"/>
                <w:szCs w:val="21"/>
              </w:rPr>
            </w:pPr>
            <w:r>
              <w:rPr>
                <w:rFonts w:ascii="Tahoma" w:hAnsi="Tahoma" w:cs="Tahoma"/>
                <w:b/>
                <w:bCs/>
                <w:sz w:val="21"/>
                <w:szCs w:val="21"/>
              </w:rPr>
              <w:t>Hall15/E40</w:t>
            </w:r>
          </w:p>
        </w:tc>
      </w:tr>
    </w:tbl>
    <w:p w:rsidR="00F11874" w:rsidRDefault="00F11874" w:rsidP="00C871B7">
      <w:pPr>
        <w:spacing w:beforeLines="50" w:afterLines="50"/>
        <w:contextualSpacing/>
        <w:rPr>
          <w:rFonts w:ascii="Tahoma" w:hAnsi="Tahoma" w:cs="Tahoma"/>
          <w:sz w:val="21"/>
          <w:szCs w:val="21"/>
        </w:rPr>
      </w:pPr>
    </w:p>
    <w:p w:rsidR="00360F22" w:rsidRPr="006A12BF" w:rsidRDefault="00360F22" w:rsidP="00C871B7">
      <w:pPr>
        <w:spacing w:beforeLines="50" w:afterLines="50"/>
        <w:contextualSpacing/>
        <w:rPr>
          <w:rFonts w:ascii="Tahoma" w:hAnsi="Tahoma" w:cs="Tahoma"/>
          <w:sz w:val="21"/>
          <w:szCs w:val="21"/>
        </w:rPr>
      </w:pPr>
    </w:p>
    <w:p w:rsidR="00F11874" w:rsidRDefault="00F11874" w:rsidP="00F11874">
      <w:pPr>
        <w:pStyle w:val="NoSpacing"/>
        <w:rPr>
          <w:rStyle w:val="pr-aboutadvchar0"/>
          <w:b/>
          <w:bCs/>
          <w:color w:val="000000"/>
          <w:sz w:val="18"/>
          <w:szCs w:val="18"/>
        </w:rPr>
      </w:pPr>
      <w:r>
        <w:rPr>
          <w:rFonts w:ascii="Tahoma" w:hAnsi="Tahoma" w:cs="Tahoma"/>
          <w:sz w:val="21"/>
          <w:szCs w:val="21"/>
        </w:rPr>
        <w:t xml:space="preserve">For more information on Medica or more information about Advantech’s medical products, please contact local sales or visit our website: </w:t>
      </w:r>
      <w:hyperlink r:id="rId23" w:history="1">
        <w:r w:rsidR="00AD59B0" w:rsidRPr="00AA5E57">
          <w:rPr>
            <w:rStyle w:val="Hyperlink"/>
            <w:rFonts w:ascii="Tahoma" w:hAnsi="Tahoma" w:cs="Tahoma"/>
          </w:rPr>
          <w:t>www.advantech.com</w:t>
        </w:r>
      </w:hyperlink>
      <w:r w:rsidR="00AD59B0">
        <w:rPr>
          <w:rFonts w:ascii="Tahoma" w:hAnsi="Tahoma" w:cs="Tahoma"/>
        </w:rPr>
        <w:t xml:space="preserve"> </w:t>
      </w:r>
    </w:p>
    <w:p w:rsidR="00F11874" w:rsidRPr="00A0468E" w:rsidRDefault="00F11874" w:rsidP="00C871B7">
      <w:pPr>
        <w:widowControl/>
        <w:snapToGrid w:val="0"/>
        <w:spacing w:beforeLines="50" w:afterLines="50"/>
        <w:jc w:val="both"/>
        <w:rPr>
          <w:lang w:val="pt-BR"/>
        </w:rPr>
      </w:pPr>
      <w:r w:rsidRPr="000C6C39">
        <w:rPr>
          <w:rStyle w:val="pr-aboutadvchar0"/>
          <w:b/>
          <w:bCs/>
          <w:color w:val="000000"/>
          <w:sz w:val="18"/>
          <w:szCs w:val="18"/>
        </w:rPr>
        <w:t xml:space="preserve">About Advantech </w:t>
      </w:r>
      <w:r>
        <w:rPr>
          <w:rStyle w:val="pr-aboutadvchar0"/>
          <w:b/>
          <w:bCs/>
          <w:color w:val="000000"/>
          <w:sz w:val="18"/>
          <w:szCs w:val="18"/>
        </w:rPr>
        <w:t>eHealthcare</w:t>
      </w:r>
      <w:r w:rsidRPr="000C6C39">
        <w:rPr>
          <w:rStyle w:val="pr-aboutadvchar0"/>
          <w:b/>
          <w:bCs/>
          <w:color w:val="000000"/>
          <w:sz w:val="18"/>
          <w:szCs w:val="18"/>
        </w:rPr>
        <w:t>–</w:t>
      </w:r>
      <w:r>
        <w:rPr>
          <w:rStyle w:val="pr-aboutadvchar0"/>
          <w:b/>
          <w:bCs/>
          <w:color w:val="000000"/>
          <w:sz w:val="18"/>
          <w:szCs w:val="18"/>
        </w:rPr>
        <w:t xml:space="preserve"> </w:t>
      </w:r>
      <w:r w:rsidRPr="00B05AAC">
        <w:rPr>
          <w:rFonts w:ascii="Arial" w:hAnsi="Arial" w:cs="Arial"/>
          <w:sz w:val="18"/>
          <w:szCs w:val="18"/>
        </w:rPr>
        <w:t>Advantech has been a leader in providing a wide range of certified computing systems and services for the world’s largest medical technology providers for many years. We have a full roster of medical products to fit all requirements, R&amp;D teams dedicated to medical technology research and implementation, extensive customization capabilities, and a global sales and service organization guarantees rapid time-to-market and dedicated local support.</w:t>
      </w:r>
    </w:p>
    <w:p w:rsidR="002B3481" w:rsidRPr="00F11874" w:rsidRDefault="002B3481" w:rsidP="008F08CF">
      <w:pPr>
        <w:pStyle w:val="PR-Body"/>
        <w:rPr>
          <w:color w:val="auto"/>
          <w:sz w:val="36"/>
          <w:szCs w:val="36"/>
          <w:lang w:val="pt-BR"/>
        </w:rPr>
      </w:pPr>
    </w:p>
    <w:sectPr w:rsidR="002B3481" w:rsidRPr="00F11874" w:rsidSect="00A0415B">
      <w:headerReference w:type="default" r:id="rId24"/>
      <w:footerReference w:type="even" r:id="rId25"/>
      <w:footerReference w:type="default" r:id="rId26"/>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492" w:rsidRDefault="00E63492">
      <w:r>
        <w:separator/>
      </w:r>
    </w:p>
    <w:p w:rsidR="00E63492" w:rsidRDefault="00E63492"/>
  </w:endnote>
  <w:endnote w:type="continuationSeparator" w:id="0">
    <w:p w:rsidR="00E63492" w:rsidRDefault="00E63492">
      <w:r>
        <w:continuationSeparator/>
      </w:r>
    </w:p>
    <w:p w:rsidR="00E63492" w:rsidRDefault="00E6349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C5311">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EC5311" w:rsidP="00A0415B">
    <w:pPr>
      <w:framePr w:w="186" w:h="351" w:hRule="exact" w:wrap="around" w:vAnchor="text" w:hAnchor="page" w:x="10599" w:y="-510"/>
    </w:pPr>
    <w:fldSimple w:instr="PAGE  ">
      <w:r w:rsidR="00C871B7">
        <w:rPr>
          <w:noProof/>
        </w:rPr>
        <w:t>1</w:t>
      </w:r>
    </w:fldSimple>
  </w:p>
  <w:p w:rsidR="00AA1F87" w:rsidRPr="00A0415B" w:rsidRDefault="00EC5311" w:rsidP="0058734F">
    <w:pPr>
      <w:ind w:right="70"/>
      <w:jc w:val="right"/>
      <w:rPr>
        <w:rFonts w:ascii="Arial" w:hAnsi="Arial" w:cs="Arial"/>
        <w:b/>
        <w:color w:val="333399"/>
      </w:rPr>
    </w:pPr>
    <w:r w:rsidRPr="00EC5311">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25.5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492" w:rsidRDefault="00E63492">
      <w:r>
        <w:separator/>
      </w:r>
    </w:p>
    <w:p w:rsidR="00E63492" w:rsidRDefault="00E63492"/>
  </w:footnote>
  <w:footnote w:type="continuationSeparator" w:id="0">
    <w:p w:rsidR="00E63492" w:rsidRDefault="00E63492">
      <w:r>
        <w:continuationSeparator/>
      </w:r>
    </w:p>
    <w:p w:rsidR="00E63492" w:rsidRDefault="00E634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F61C5A" w:rsidP="0058734F">
    <w:pPr>
      <w:tabs>
        <w:tab w:val="left" w:pos="1410"/>
      </w:tabs>
      <w:ind w:left="-1418" w:right="-830"/>
    </w:pPr>
    <w:r>
      <w:rPr>
        <w:noProof/>
        <w:lang w:eastAsia="en-US"/>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7CF"/>
    <w:multiLevelType w:val="hybridMultilevel"/>
    <w:tmpl w:val="39FC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4F1E98"/>
    <w:multiLevelType w:val="hybridMultilevel"/>
    <w:tmpl w:val="E9A28C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1F08"/>
  <w:trackRevisions/>
  <w:defaultTabStop w:val="480"/>
  <w:displayHorizontalDrawingGridEvery w:val="0"/>
  <w:displayVerticalDrawingGridEvery w:val="2"/>
  <w:characterSpacingControl w:val="compressPunctuation"/>
  <w:hdrShapeDefaults>
    <o:shapedefaults v:ext="edit" spidmax="276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AE0"/>
    <w:rsid w:val="000031B5"/>
    <w:rsid w:val="00004D6C"/>
    <w:rsid w:val="00011821"/>
    <w:rsid w:val="000247C0"/>
    <w:rsid w:val="000249B3"/>
    <w:rsid w:val="000273DC"/>
    <w:rsid w:val="00031345"/>
    <w:rsid w:val="000661DD"/>
    <w:rsid w:val="000763AC"/>
    <w:rsid w:val="00097481"/>
    <w:rsid w:val="000A16A9"/>
    <w:rsid w:val="000A64A5"/>
    <w:rsid w:val="000B4814"/>
    <w:rsid w:val="000C2A18"/>
    <w:rsid w:val="000C3F31"/>
    <w:rsid w:val="000D6D39"/>
    <w:rsid w:val="000E4821"/>
    <w:rsid w:val="000E6671"/>
    <w:rsid w:val="00110B93"/>
    <w:rsid w:val="00127A46"/>
    <w:rsid w:val="00131041"/>
    <w:rsid w:val="00133E7C"/>
    <w:rsid w:val="001342AD"/>
    <w:rsid w:val="00152B53"/>
    <w:rsid w:val="0015454A"/>
    <w:rsid w:val="00157591"/>
    <w:rsid w:val="00171AD8"/>
    <w:rsid w:val="00177D31"/>
    <w:rsid w:val="00186CEC"/>
    <w:rsid w:val="001A214B"/>
    <w:rsid w:val="001A2ECB"/>
    <w:rsid w:val="001C35B3"/>
    <w:rsid w:val="001D0F9D"/>
    <w:rsid w:val="001D1195"/>
    <w:rsid w:val="001D7D1B"/>
    <w:rsid w:val="001E2873"/>
    <w:rsid w:val="001E28FE"/>
    <w:rsid w:val="001E3EFC"/>
    <w:rsid w:val="001F21BF"/>
    <w:rsid w:val="0020089D"/>
    <w:rsid w:val="00200FC1"/>
    <w:rsid w:val="002057C2"/>
    <w:rsid w:val="002057F4"/>
    <w:rsid w:val="002115FD"/>
    <w:rsid w:val="00214C07"/>
    <w:rsid w:val="0024222C"/>
    <w:rsid w:val="002436BB"/>
    <w:rsid w:val="002551E9"/>
    <w:rsid w:val="00287DB1"/>
    <w:rsid w:val="002931EA"/>
    <w:rsid w:val="002A259B"/>
    <w:rsid w:val="002B3481"/>
    <w:rsid w:val="002B41D8"/>
    <w:rsid w:val="002C4CEC"/>
    <w:rsid w:val="002E1539"/>
    <w:rsid w:val="002E2783"/>
    <w:rsid w:val="0034557E"/>
    <w:rsid w:val="00355417"/>
    <w:rsid w:val="00360F22"/>
    <w:rsid w:val="00365517"/>
    <w:rsid w:val="00370085"/>
    <w:rsid w:val="00373224"/>
    <w:rsid w:val="00383EA0"/>
    <w:rsid w:val="00390288"/>
    <w:rsid w:val="00391659"/>
    <w:rsid w:val="003A68E0"/>
    <w:rsid w:val="003C1E11"/>
    <w:rsid w:val="003C5467"/>
    <w:rsid w:val="003C58D1"/>
    <w:rsid w:val="003C7102"/>
    <w:rsid w:val="003E1AFB"/>
    <w:rsid w:val="003E5452"/>
    <w:rsid w:val="003F43A6"/>
    <w:rsid w:val="003F6769"/>
    <w:rsid w:val="00427683"/>
    <w:rsid w:val="004309DA"/>
    <w:rsid w:val="004435AF"/>
    <w:rsid w:val="00457F6A"/>
    <w:rsid w:val="00467398"/>
    <w:rsid w:val="00470D89"/>
    <w:rsid w:val="0047266C"/>
    <w:rsid w:val="004937DF"/>
    <w:rsid w:val="00495BBB"/>
    <w:rsid w:val="00496A60"/>
    <w:rsid w:val="004A2538"/>
    <w:rsid w:val="004A4530"/>
    <w:rsid w:val="004A4AB6"/>
    <w:rsid w:val="004B718D"/>
    <w:rsid w:val="004C0231"/>
    <w:rsid w:val="004D6934"/>
    <w:rsid w:val="004E0725"/>
    <w:rsid w:val="004F0D3B"/>
    <w:rsid w:val="004F532B"/>
    <w:rsid w:val="00500A65"/>
    <w:rsid w:val="00515C7D"/>
    <w:rsid w:val="00523D3B"/>
    <w:rsid w:val="00525C72"/>
    <w:rsid w:val="00535302"/>
    <w:rsid w:val="00536F13"/>
    <w:rsid w:val="00536FE7"/>
    <w:rsid w:val="00544762"/>
    <w:rsid w:val="00550948"/>
    <w:rsid w:val="005612B9"/>
    <w:rsid w:val="00564D0D"/>
    <w:rsid w:val="0056556D"/>
    <w:rsid w:val="0057559C"/>
    <w:rsid w:val="00575CD5"/>
    <w:rsid w:val="0058734F"/>
    <w:rsid w:val="005A0ABD"/>
    <w:rsid w:val="005F4082"/>
    <w:rsid w:val="00671080"/>
    <w:rsid w:val="00672C55"/>
    <w:rsid w:val="0069629F"/>
    <w:rsid w:val="006C3F2B"/>
    <w:rsid w:val="006E0498"/>
    <w:rsid w:val="006F2D09"/>
    <w:rsid w:val="006F366C"/>
    <w:rsid w:val="00762ECE"/>
    <w:rsid w:val="00773654"/>
    <w:rsid w:val="00775376"/>
    <w:rsid w:val="00796A2E"/>
    <w:rsid w:val="007B3494"/>
    <w:rsid w:val="007C32A3"/>
    <w:rsid w:val="007D3B0A"/>
    <w:rsid w:val="007E66DE"/>
    <w:rsid w:val="008005E6"/>
    <w:rsid w:val="00810645"/>
    <w:rsid w:val="0081312F"/>
    <w:rsid w:val="00817A90"/>
    <w:rsid w:val="00817C92"/>
    <w:rsid w:val="008247DB"/>
    <w:rsid w:val="0083120C"/>
    <w:rsid w:val="008407E5"/>
    <w:rsid w:val="00854FED"/>
    <w:rsid w:val="008756B5"/>
    <w:rsid w:val="008B00C0"/>
    <w:rsid w:val="008B170A"/>
    <w:rsid w:val="008B7E62"/>
    <w:rsid w:val="008D4A77"/>
    <w:rsid w:val="008E3258"/>
    <w:rsid w:val="008E7529"/>
    <w:rsid w:val="008F08CF"/>
    <w:rsid w:val="00905D02"/>
    <w:rsid w:val="009104BF"/>
    <w:rsid w:val="00931FC4"/>
    <w:rsid w:val="00932F3A"/>
    <w:rsid w:val="00935A9C"/>
    <w:rsid w:val="00937803"/>
    <w:rsid w:val="0094246B"/>
    <w:rsid w:val="00944325"/>
    <w:rsid w:val="00944829"/>
    <w:rsid w:val="009568E1"/>
    <w:rsid w:val="00964ADF"/>
    <w:rsid w:val="00967984"/>
    <w:rsid w:val="00972CBA"/>
    <w:rsid w:val="00987CD3"/>
    <w:rsid w:val="009A045B"/>
    <w:rsid w:val="009C074D"/>
    <w:rsid w:val="009D24E4"/>
    <w:rsid w:val="009D42F0"/>
    <w:rsid w:val="009E2D5F"/>
    <w:rsid w:val="009F56AA"/>
    <w:rsid w:val="00A0415B"/>
    <w:rsid w:val="00A10A9C"/>
    <w:rsid w:val="00A12CEF"/>
    <w:rsid w:val="00A23F8E"/>
    <w:rsid w:val="00A261FC"/>
    <w:rsid w:val="00A4076D"/>
    <w:rsid w:val="00A47DCD"/>
    <w:rsid w:val="00A653D8"/>
    <w:rsid w:val="00AA1F87"/>
    <w:rsid w:val="00AA3787"/>
    <w:rsid w:val="00AB03D2"/>
    <w:rsid w:val="00AB1112"/>
    <w:rsid w:val="00AB1216"/>
    <w:rsid w:val="00AD09A3"/>
    <w:rsid w:val="00AD59B0"/>
    <w:rsid w:val="00B03605"/>
    <w:rsid w:val="00B10928"/>
    <w:rsid w:val="00B1667E"/>
    <w:rsid w:val="00B20F2A"/>
    <w:rsid w:val="00B24F44"/>
    <w:rsid w:val="00B260AF"/>
    <w:rsid w:val="00B32EC5"/>
    <w:rsid w:val="00B5160A"/>
    <w:rsid w:val="00B65AE0"/>
    <w:rsid w:val="00B71786"/>
    <w:rsid w:val="00B72541"/>
    <w:rsid w:val="00B94D78"/>
    <w:rsid w:val="00B975CE"/>
    <w:rsid w:val="00BA23C0"/>
    <w:rsid w:val="00BA2A6C"/>
    <w:rsid w:val="00BB5F6D"/>
    <w:rsid w:val="00BC061E"/>
    <w:rsid w:val="00BE0E37"/>
    <w:rsid w:val="00BE16BB"/>
    <w:rsid w:val="00BE3EDE"/>
    <w:rsid w:val="00BF2A34"/>
    <w:rsid w:val="00C14B3C"/>
    <w:rsid w:val="00C14B90"/>
    <w:rsid w:val="00C46BB3"/>
    <w:rsid w:val="00C57C87"/>
    <w:rsid w:val="00C871B7"/>
    <w:rsid w:val="00C93784"/>
    <w:rsid w:val="00CE22CE"/>
    <w:rsid w:val="00CF41FB"/>
    <w:rsid w:val="00CF69C7"/>
    <w:rsid w:val="00D060B6"/>
    <w:rsid w:val="00D10A26"/>
    <w:rsid w:val="00D34659"/>
    <w:rsid w:val="00D443B4"/>
    <w:rsid w:val="00D45AC9"/>
    <w:rsid w:val="00D50B76"/>
    <w:rsid w:val="00D528A1"/>
    <w:rsid w:val="00D7032E"/>
    <w:rsid w:val="00DA5C3C"/>
    <w:rsid w:val="00DC145C"/>
    <w:rsid w:val="00DC2DD4"/>
    <w:rsid w:val="00DC7856"/>
    <w:rsid w:val="00DF3449"/>
    <w:rsid w:val="00E12B86"/>
    <w:rsid w:val="00E23A7A"/>
    <w:rsid w:val="00E375E8"/>
    <w:rsid w:val="00E421CC"/>
    <w:rsid w:val="00E42A04"/>
    <w:rsid w:val="00E507B1"/>
    <w:rsid w:val="00E61B15"/>
    <w:rsid w:val="00E63492"/>
    <w:rsid w:val="00E722DD"/>
    <w:rsid w:val="00E805E7"/>
    <w:rsid w:val="00E82AA1"/>
    <w:rsid w:val="00E90735"/>
    <w:rsid w:val="00E94869"/>
    <w:rsid w:val="00EB477C"/>
    <w:rsid w:val="00EB73B0"/>
    <w:rsid w:val="00EC4C96"/>
    <w:rsid w:val="00EC5311"/>
    <w:rsid w:val="00ED2B10"/>
    <w:rsid w:val="00EE0A5E"/>
    <w:rsid w:val="00EE1ECB"/>
    <w:rsid w:val="00EE4835"/>
    <w:rsid w:val="00F0095E"/>
    <w:rsid w:val="00F03652"/>
    <w:rsid w:val="00F11874"/>
    <w:rsid w:val="00F12C02"/>
    <w:rsid w:val="00F16D16"/>
    <w:rsid w:val="00F41921"/>
    <w:rsid w:val="00F451F7"/>
    <w:rsid w:val="00F452E6"/>
    <w:rsid w:val="00F532DA"/>
    <w:rsid w:val="00F61C5A"/>
    <w:rsid w:val="00F66B2B"/>
    <w:rsid w:val="00F77E02"/>
    <w:rsid w:val="00FA5CB5"/>
    <w:rsid w:val="00FA66B2"/>
    <w:rsid w:val="00FB26C2"/>
    <w:rsid w:val="00FC260D"/>
    <w:rsid w:val="00FC31BA"/>
    <w:rsid w:val="00FC3CD0"/>
    <w:rsid w:val="00FC5275"/>
    <w:rsid w:val="00FD1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F3A"/>
    <w:pPr>
      <w:widowControl w:val="0"/>
    </w:pPr>
    <w:rPr>
      <w:kern w:val="2"/>
      <w:sz w:val="24"/>
      <w:szCs w:val="24"/>
      <w:lang w:eastAsia="zh-TW"/>
    </w:rPr>
  </w:style>
  <w:style w:type="paragraph" w:styleId="Heading1">
    <w:name w:val="heading 1"/>
    <w:basedOn w:val="Normal"/>
    <w:next w:val="Normal"/>
    <w:qFormat/>
    <w:rsid w:val="00932F3A"/>
    <w:pPr>
      <w:keepNext/>
      <w:spacing w:before="240"/>
      <w:outlineLvl w:val="0"/>
    </w:pPr>
    <w:rPr>
      <w:rFonts w:ascii="Arial" w:hAnsi="Arial"/>
      <w:b/>
      <w:sz w:val="22"/>
    </w:rPr>
  </w:style>
  <w:style w:type="paragraph" w:styleId="Heading2">
    <w:name w:val="heading 2"/>
    <w:basedOn w:val="Normal"/>
    <w:next w:val="Normal"/>
    <w:qFormat/>
    <w:rsid w:val="00932F3A"/>
    <w:pPr>
      <w:keepNext/>
      <w:outlineLvl w:val="1"/>
    </w:pPr>
    <w:rPr>
      <w:rFonts w:ascii="Arial" w:hAnsi="Arial" w:cs="Arial"/>
      <w:b/>
      <w:bCs/>
      <w:color w:val="333399"/>
      <w:sz w:val="18"/>
    </w:rPr>
  </w:style>
  <w:style w:type="paragraph" w:styleId="Heading3">
    <w:name w:val="heading 3"/>
    <w:basedOn w:val="Normal"/>
    <w:next w:val="Normal"/>
    <w:qFormat/>
    <w:rsid w:val="00932F3A"/>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F3A"/>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0031B5"/>
    <w:rPr>
      <w:rFonts w:ascii="Tahoma" w:hAnsi="Tahoma" w:cs="Tahoma"/>
      <w:sz w:val="16"/>
      <w:szCs w:val="16"/>
    </w:rPr>
  </w:style>
  <w:style w:type="character" w:customStyle="1" w:styleId="BalloonTextChar">
    <w:name w:val="Balloon Text Char"/>
    <w:basedOn w:val="DefaultParagraphFont"/>
    <w:link w:val="BalloonText"/>
    <w:rsid w:val="000031B5"/>
    <w:rPr>
      <w:rFonts w:ascii="Tahoma" w:hAnsi="Tahoma" w:cs="Tahoma"/>
      <w:kern w:val="2"/>
      <w:sz w:val="16"/>
      <w:szCs w:val="16"/>
      <w:lang w:eastAsia="zh-TW"/>
    </w:rPr>
  </w:style>
  <w:style w:type="paragraph" w:styleId="ListParagraph">
    <w:name w:val="List Paragraph"/>
    <w:basedOn w:val="Normal"/>
    <w:uiPriority w:val="34"/>
    <w:qFormat/>
    <w:rsid w:val="00C93784"/>
    <w:pPr>
      <w:ind w:left="720"/>
      <w:contextualSpacing/>
    </w:pPr>
  </w:style>
  <w:style w:type="character" w:customStyle="1" w:styleId="titlebig1">
    <w:name w:val="title_big1"/>
    <w:basedOn w:val="DefaultParagraphFont"/>
    <w:rsid w:val="00B1667E"/>
    <w:rPr>
      <w:rFonts w:ascii="Arial" w:hAnsi="Arial" w:cs="Arial" w:hint="default"/>
      <w:b/>
      <w:bCs/>
      <w:color w:val="000099"/>
      <w:sz w:val="24"/>
      <w:szCs w:val="24"/>
    </w:rPr>
  </w:style>
  <w:style w:type="character" w:customStyle="1" w:styleId="titlebig">
    <w:name w:val="title_big"/>
    <w:basedOn w:val="DefaultParagraphFont"/>
    <w:rsid w:val="00987CD3"/>
  </w:style>
  <w:style w:type="paragraph" w:styleId="NormalWeb">
    <w:name w:val="Normal (Web)"/>
    <w:basedOn w:val="Normal"/>
    <w:uiPriority w:val="99"/>
    <w:unhideWhenUsed/>
    <w:rsid w:val="00987CD3"/>
    <w:pPr>
      <w:widowControl/>
      <w:spacing w:before="100" w:beforeAutospacing="1" w:after="100" w:afterAutospacing="1"/>
    </w:pPr>
    <w:rPr>
      <w:rFonts w:eastAsia="Times New Roman"/>
      <w:kern w:val="0"/>
    </w:rPr>
  </w:style>
  <w:style w:type="paragraph" w:customStyle="1" w:styleId="pr-body0">
    <w:name w:val="pr-body"/>
    <w:basedOn w:val="Normal"/>
    <w:rsid w:val="00987CD3"/>
    <w:pPr>
      <w:widowControl/>
      <w:spacing w:before="100" w:beforeAutospacing="1" w:after="100" w:afterAutospacing="1"/>
    </w:pPr>
    <w:rPr>
      <w:rFonts w:eastAsia="Times New Roman"/>
      <w:kern w:val="0"/>
    </w:rPr>
  </w:style>
  <w:style w:type="character" w:styleId="Strong">
    <w:name w:val="Strong"/>
    <w:basedOn w:val="DefaultParagraphFont"/>
    <w:uiPriority w:val="22"/>
    <w:qFormat/>
    <w:rsid w:val="00987CD3"/>
    <w:rPr>
      <w:b/>
      <w:bCs/>
    </w:rPr>
  </w:style>
  <w:style w:type="paragraph" w:styleId="NoSpacing">
    <w:name w:val="No Spacing"/>
    <w:uiPriority w:val="1"/>
    <w:qFormat/>
    <w:rsid w:val="00F11874"/>
    <w:pPr>
      <w:widowControl w:val="0"/>
    </w:pPr>
    <w:rPr>
      <w:rFonts w:ascii="Calibri" w:hAnsi="Calibri"/>
      <w:kern w:val="2"/>
      <w:sz w:val="24"/>
      <w:szCs w:val="22"/>
      <w:lang w:eastAsia="zh-TW"/>
    </w:rPr>
  </w:style>
  <w:style w:type="paragraph" w:customStyle="1" w:styleId="Default">
    <w:name w:val="Default"/>
    <w:rsid w:val="00F11874"/>
    <w:pPr>
      <w:widowControl w:val="0"/>
      <w:autoSpaceDE w:val="0"/>
      <w:autoSpaceDN w:val="0"/>
      <w:adjustRightInd w:val="0"/>
    </w:pPr>
    <w:rPr>
      <w:rFonts w:ascii="Helvetica" w:hAnsi="Helvetica" w:cs="Helvetica"/>
      <w:color w:val="000000"/>
      <w:sz w:val="24"/>
      <w:szCs w:val="24"/>
      <w:lang w:eastAsia="zh-TW"/>
    </w:rPr>
  </w:style>
  <w:style w:type="character" w:customStyle="1" w:styleId="A6">
    <w:name w:val="A6"/>
    <w:uiPriority w:val="99"/>
    <w:rsid w:val="00F11874"/>
    <w:rPr>
      <w:color w:val="000000"/>
      <w:sz w:val="15"/>
      <w:szCs w:val="15"/>
    </w:rPr>
  </w:style>
  <w:style w:type="paragraph" w:customStyle="1" w:styleId="Pa6">
    <w:name w:val="Pa6"/>
    <w:basedOn w:val="Default"/>
    <w:next w:val="Default"/>
    <w:uiPriority w:val="99"/>
    <w:rsid w:val="00F11874"/>
    <w:pPr>
      <w:spacing w:after="80" w:line="161" w:lineRule="atLeast"/>
    </w:pPr>
    <w:rPr>
      <w:rFonts w:cs="Times New Roman"/>
      <w:color w:val="auto"/>
    </w:rPr>
  </w:style>
  <w:style w:type="character" w:customStyle="1" w:styleId="A4">
    <w:name w:val="A4"/>
    <w:uiPriority w:val="99"/>
    <w:rsid w:val="00F11874"/>
    <w:rPr>
      <w:rFonts w:cs="Helvetica"/>
      <w:b/>
      <w:bCs/>
      <w:color w:val="575555"/>
      <w:sz w:val="26"/>
      <w:szCs w:val="26"/>
    </w:rPr>
  </w:style>
</w:styles>
</file>

<file path=word/webSettings.xml><?xml version="1.0" encoding="utf-8"?>
<w:webSettings xmlns:r="http://schemas.openxmlformats.org/officeDocument/2006/relationships" xmlns:w="http://schemas.openxmlformats.org/wordprocessingml/2006/main">
  <w:divs>
    <w:div w:id="162203915">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206066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pauline.huang\Local%20Settings\Temporary%20Internet%20Files\Content.Outlook\8E03D71W\martin.skiba@advantech.de" TargetMode="External"/><Relationship Id="rId13" Type="http://schemas.openxmlformats.org/officeDocument/2006/relationships/image" Target="media/image5.png"/><Relationship Id="rId18" Type="http://schemas.openxmlformats.org/officeDocument/2006/relationships/hyperlink" Target="http://www.medica.de/cipp/show,fair,medcom2010/lang,2/oid,28457/xa_nr,2204687/~/Web-ExhDatasheet/exh_datashee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CustomerCare@advantech.eu" TargetMode="Externa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advantech.com"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medica.de/cipp/show,fair,medcom2010/lang,2/oid,28457/xa_nr,2205167/~/Web-ExhDatasheet/exh_datasheet" TargetMode="External"/><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4579</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1310729</vt:i4>
      </vt:variant>
      <vt:variant>
        <vt:i4>15</vt:i4>
      </vt:variant>
      <vt:variant>
        <vt:i4>0</vt:i4>
      </vt:variant>
      <vt:variant>
        <vt:i4>5</vt:i4>
      </vt:variant>
      <vt:variant>
        <vt:lpwstr>http://www.advantech.de/</vt:lpwstr>
      </vt:variant>
      <vt:variant>
        <vt:lpwstr/>
      </vt:variant>
      <vt:variant>
        <vt:i4>5308419</vt:i4>
      </vt:variant>
      <vt:variant>
        <vt:i4>12</vt:i4>
      </vt:variant>
      <vt:variant>
        <vt:i4>0</vt:i4>
      </vt:variant>
      <vt:variant>
        <vt:i4>5</vt:i4>
      </vt:variant>
      <vt:variant>
        <vt:lpwstr>http://www.advantech.com/</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mariette.dusseldorp</cp:lastModifiedBy>
  <cp:revision>2</cp:revision>
  <cp:lastPrinted>2010-01-08T07:27:00Z</cp:lastPrinted>
  <dcterms:created xsi:type="dcterms:W3CDTF">2011-02-08T15:39:00Z</dcterms:created>
  <dcterms:modified xsi:type="dcterms:W3CDTF">2011-02-08T15:39:00Z</dcterms:modified>
</cp:coreProperties>
</file>