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Presse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4D7057" w:rsidRPr="00410DEC" w:rsidRDefault="004D7057" w:rsidP="004D7057">
      <w:pPr>
        <w:pStyle w:val="PR-Body"/>
        <w:ind w:left="900"/>
        <w:rPr>
          <w:b/>
          <w:sz w:val="20"/>
          <w:szCs w:val="20"/>
          <w:lang w:val="fr-FR"/>
        </w:rPr>
      </w:pPr>
      <w:r w:rsidRPr="00410DEC">
        <w:rPr>
          <w:bCs/>
          <w:sz w:val="20"/>
          <w:szCs w:val="20"/>
          <w:lang w:val="fr-FR"/>
        </w:rPr>
        <w:t>N°Vert: 00800 24 26 80 80</w:t>
      </w:r>
      <w:r w:rsidRPr="00410DEC">
        <w:rPr>
          <w:b/>
          <w:sz w:val="20"/>
          <w:szCs w:val="20"/>
          <w:lang w:val="fr-FR"/>
        </w:rPr>
        <w:tab/>
      </w:r>
      <w:r w:rsidRPr="00410DEC">
        <w:rPr>
          <w:b/>
          <w:sz w:val="20"/>
          <w:szCs w:val="20"/>
          <w:lang w:val="fr-FR"/>
        </w:rPr>
        <w:tab/>
      </w:r>
      <w:r w:rsidRPr="00410DEC">
        <w:rPr>
          <w:b/>
          <w:sz w:val="20"/>
          <w:szCs w:val="20"/>
          <w:lang w:val="fr-FR"/>
        </w:rPr>
        <w:tab/>
      </w:r>
      <w:r w:rsidRPr="00410DEC">
        <w:rPr>
          <w:b/>
          <w:sz w:val="20"/>
          <w:szCs w:val="20"/>
          <w:lang w:val="fr-FR"/>
        </w:rPr>
        <w:tab/>
      </w:r>
      <w:r w:rsidRPr="00410DEC">
        <w:rPr>
          <w:b/>
          <w:sz w:val="20"/>
          <w:szCs w:val="20"/>
          <w:lang w:val="fr-FR"/>
        </w:rPr>
        <w:tab/>
      </w:r>
      <w:r w:rsidRPr="00410DEC">
        <w:rPr>
          <w:bCs/>
          <w:sz w:val="20"/>
          <w:szCs w:val="20"/>
          <w:lang w:val="fr-FR"/>
        </w:rPr>
        <w:t>Tel : 01.41.19.75.70</w:t>
      </w:r>
    </w:p>
    <w:p w:rsidR="009C634C" w:rsidRPr="00410DEC" w:rsidRDefault="007F4067" w:rsidP="004D7057">
      <w:pPr>
        <w:pStyle w:val="PR-Body"/>
        <w:ind w:left="900"/>
        <w:rPr>
          <w:sz w:val="20"/>
          <w:szCs w:val="20"/>
          <w:lang w:val="fr-FR"/>
        </w:rPr>
      </w:pPr>
      <w:hyperlink r:id="rId7" w:history="1">
        <w:r w:rsidR="004D7057" w:rsidRPr="00410DEC">
          <w:rPr>
            <w:rStyle w:val="Hyperlink"/>
            <w:sz w:val="20"/>
            <w:szCs w:val="20"/>
            <w:lang w:val="fr-FR"/>
          </w:rPr>
          <w:t>customercare@advantech.eu</w:t>
        </w:r>
      </w:hyperlink>
      <w:r w:rsidR="004D7057" w:rsidRPr="00410DEC">
        <w:rPr>
          <w:sz w:val="20"/>
          <w:szCs w:val="20"/>
          <w:lang w:val="fr-FR"/>
        </w:rPr>
        <w:tab/>
      </w:r>
      <w:r w:rsidR="004D7057" w:rsidRPr="00410DEC">
        <w:rPr>
          <w:sz w:val="20"/>
          <w:szCs w:val="20"/>
          <w:lang w:val="fr-FR"/>
        </w:rPr>
        <w:tab/>
      </w:r>
      <w:r w:rsidR="004D7057" w:rsidRPr="00410DEC">
        <w:rPr>
          <w:sz w:val="20"/>
          <w:szCs w:val="20"/>
          <w:lang w:val="fr-FR"/>
        </w:rPr>
        <w:tab/>
      </w:r>
      <w:r w:rsidR="004D7057" w:rsidRPr="00410DEC">
        <w:rPr>
          <w:sz w:val="20"/>
          <w:szCs w:val="20"/>
          <w:lang w:val="fr-FR"/>
        </w:rPr>
        <w:tab/>
      </w:r>
      <w:hyperlink r:id="rId8" w:history="1">
        <w:r w:rsidR="004D7057" w:rsidRPr="00410DEC">
          <w:rPr>
            <w:rStyle w:val="Hyperlink"/>
            <w:sz w:val="20"/>
            <w:szCs w:val="20"/>
            <w:lang w:val="fr-FR"/>
          </w:rPr>
          <w:t>marielle.severac@advantech.fr</w:t>
        </w:r>
      </w:hyperlink>
    </w:p>
    <w:p w:rsidR="009C634C" w:rsidRPr="00410DEC" w:rsidRDefault="009C634C" w:rsidP="009C634C">
      <w:pPr>
        <w:pStyle w:val="PR-Body"/>
        <w:ind w:left="900"/>
        <w:rPr>
          <w:sz w:val="20"/>
          <w:szCs w:val="20"/>
          <w:lang w:val="fr-FR"/>
        </w:rPr>
      </w:pPr>
    </w:p>
    <w:p w:rsidR="009C634C" w:rsidRPr="00410DEC" w:rsidRDefault="009C634C" w:rsidP="009C634C">
      <w:pPr>
        <w:pStyle w:val="PR-Headline"/>
        <w:snapToGrid w:val="0"/>
        <w:spacing w:before="0"/>
        <w:rPr>
          <w:sz w:val="32"/>
          <w:szCs w:val="32"/>
          <w:lang w:val="fr-FR"/>
        </w:rPr>
      </w:pPr>
    </w:p>
    <w:p w:rsidR="00951888" w:rsidRPr="00951888" w:rsidRDefault="003460B1" w:rsidP="003460B1">
      <w:pPr>
        <w:adjustRightInd w:val="0"/>
        <w:snapToGrid w:val="0"/>
        <w:ind w:right="34"/>
        <w:jc w:val="center"/>
        <w:rPr>
          <w:rFonts w:ascii="Arial Black" w:hAnsi="Arial Black" w:cs="Tahoma"/>
          <w:b/>
          <w:bCs/>
          <w:sz w:val="28"/>
          <w:szCs w:val="28"/>
          <w:lang w:val="fr-FR"/>
        </w:rPr>
      </w:pPr>
      <w:proofErr w:type="spellStart"/>
      <w:r w:rsidRPr="003460B1">
        <w:rPr>
          <w:rFonts w:ascii="Arial Black" w:hAnsi="Arial Black" w:cs="Tahoma"/>
          <w:b/>
          <w:bCs/>
          <w:sz w:val="28"/>
          <w:szCs w:val="28"/>
          <w:lang w:val="fr-FR"/>
        </w:rPr>
        <w:t>Advantech</w:t>
      </w:r>
      <w:proofErr w:type="spellEnd"/>
      <w:r w:rsidRPr="003460B1">
        <w:rPr>
          <w:rFonts w:ascii="Arial Black" w:hAnsi="Arial Black" w:cs="Tahoma"/>
          <w:b/>
          <w:bCs/>
          <w:sz w:val="28"/>
          <w:szCs w:val="28"/>
          <w:lang w:val="fr-FR"/>
        </w:rPr>
        <w:t xml:space="preserve"> lance deux PC tactiles durcis de 5,7 et 12 pouces, à protection IP65 et température étendue</w:t>
      </w:r>
      <w:r w:rsidRPr="00951888">
        <w:rPr>
          <w:rFonts w:ascii="Arial Black" w:hAnsi="Arial Black" w:cs="Tahoma"/>
          <w:b/>
          <w:bCs/>
          <w:sz w:val="28"/>
          <w:szCs w:val="28"/>
          <w:lang w:val="fr-FR"/>
        </w:rPr>
        <w:t xml:space="preserve"> </w:t>
      </w:r>
    </w:p>
    <w:p w:rsidR="00170F72" w:rsidRDefault="00170F72" w:rsidP="00AE6984">
      <w:pPr>
        <w:pStyle w:val="PR-Body"/>
        <w:jc w:val="center"/>
        <w:rPr>
          <w:color w:val="auto"/>
          <w:sz w:val="28"/>
          <w:szCs w:val="28"/>
          <w:lang w:val="fr-FR"/>
        </w:rPr>
      </w:pPr>
    </w:p>
    <w:p w:rsidR="00170F72" w:rsidRPr="003460B1" w:rsidRDefault="00170F72" w:rsidP="003460B1">
      <w:pPr>
        <w:rPr>
          <w:rFonts w:ascii="Tahoma" w:hAnsi="Tahoma" w:cs="Tahoma"/>
          <w:sz w:val="21"/>
          <w:szCs w:val="21"/>
          <w:lang w:val="fr-FR"/>
        </w:rPr>
      </w:pPr>
    </w:p>
    <w:p w:rsidR="001D0F61" w:rsidRPr="001D0F61" w:rsidRDefault="007F4067" w:rsidP="001D0F61">
      <w:pPr>
        <w:pStyle w:val="PR-Body"/>
        <w:spacing w:line="360" w:lineRule="auto"/>
        <w:jc w:val="both"/>
        <w:rPr>
          <w:sz w:val="20"/>
          <w:szCs w:val="20"/>
          <w:lang w:val="fr-FR" w:eastAsia="ar-SA"/>
        </w:rPr>
      </w:pPr>
      <w:r w:rsidRPr="007F4067">
        <w:rPr>
          <w:b/>
          <w:i/>
          <w:sz w:val="20"/>
          <w:szCs w:val="20"/>
          <w:lang w:val="fr-FR" w:eastAsia="ar-SA"/>
        </w:rPr>
        <w:t xml:space="preserve">Novembre 2010 - </w:t>
      </w:r>
      <w:proofErr w:type="spellStart"/>
      <w:r>
        <w:rPr>
          <w:color w:val="auto"/>
          <w:sz w:val="20"/>
          <w:szCs w:val="20"/>
          <w:lang w:val="fr-FR" w:eastAsia="ar-SA"/>
        </w:rPr>
        <w:t>Advantech</w:t>
      </w:r>
      <w:proofErr w:type="spellEnd"/>
      <w:r>
        <w:rPr>
          <w:color w:val="auto"/>
          <w:sz w:val="20"/>
          <w:szCs w:val="20"/>
          <w:lang w:val="fr-FR" w:eastAsia="ar-SA"/>
        </w:rPr>
        <w:t xml:space="preserve"> introduit deux PC à écran tactile polyvalents et sans ventilateur, les </w:t>
      </w:r>
      <w:r w:rsidRPr="007F4067">
        <w:rPr>
          <w:sz w:val="20"/>
          <w:szCs w:val="20"/>
          <w:lang w:val="fr-FR" w:eastAsia="ar-SA"/>
        </w:rPr>
        <w:t xml:space="preserve">TPC-651H et </w:t>
      </w:r>
      <w:r w:rsidRPr="007F4067">
        <w:rPr>
          <w:bCs/>
          <w:sz w:val="20"/>
          <w:szCs w:val="20"/>
          <w:lang w:val="fr-FR" w:eastAsia="ar-SA"/>
        </w:rPr>
        <w:t xml:space="preserve">TPC-1251H. Equipés du processeur Intel® </w:t>
      </w:r>
      <w:proofErr w:type="spellStart"/>
      <w:r w:rsidRPr="007F4067">
        <w:rPr>
          <w:bCs/>
          <w:sz w:val="20"/>
          <w:szCs w:val="20"/>
          <w:lang w:val="fr-FR" w:eastAsia="ar-SA"/>
        </w:rPr>
        <w:t>Atom</w:t>
      </w:r>
      <w:proofErr w:type="spellEnd"/>
      <w:r w:rsidRPr="007F4067">
        <w:rPr>
          <w:bCs/>
          <w:sz w:val="20"/>
          <w:szCs w:val="20"/>
          <w:lang w:val="fr-FR" w:eastAsia="ar-SA"/>
        </w:rPr>
        <w:t xml:space="preserve">™ </w:t>
      </w:r>
      <w:proofErr w:type="spellStart"/>
      <w:r w:rsidRPr="007F4067">
        <w:rPr>
          <w:bCs/>
          <w:sz w:val="20"/>
          <w:szCs w:val="20"/>
          <w:lang w:val="fr-FR" w:eastAsia="ar-SA"/>
        </w:rPr>
        <w:t>eMenlow</w:t>
      </w:r>
      <w:proofErr w:type="spellEnd"/>
      <w:r w:rsidRPr="007F4067">
        <w:rPr>
          <w:bCs/>
          <w:sz w:val="20"/>
          <w:szCs w:val="20"/>
          <w:lang w:val="fr-FR" w:eastAsia="ar-SA"/>
        </w:rPr>
        <w:t xml:space="preserve"> XL et d'écrans LCD TFT </w:t>
      </w:r>
      <w:r w:rsidRPr="007F4067">
        <w:rPr>
          <w:sz w:val="20"/>
          <w:szCs w:val="20"/>
          <w:lang w:val="fr-FR" w:eastAsia="ar-SA"/>
        </w:rPr>
        <w:t>SVGA</w:t>
      </w:r>
      <w:r w:rsidRPr="007F4067">
        <w:rPr>
          <w:bCs/>
          <w:sz w:val="20"/>
          <w:szCs w:val="20"/>
          <w:lang w:val="fr-FR" w:eastAsia="ar-SA"/>
        </w:rPr>
        <w:t>, fonctionnant dans la plage de température étendue de -20°C à 60°C, avec une nouvelle face avant scellée apportant un niveau de protection avancé IP65</w:t>
      </w:r>
      <w:r w:rsidRPr="007F4067">
        <w:rPr>
          <w:sz w:val="20"/>
          <w:szCs w:val="20"/>
          <w:lang w:val="fr-FR" w:eastAsia="ar-SA"/>
        </w:rPr>
        <w:t xml:space="preserve">, les TPC-651H et </w:t>
      </w:r>
      <w:r w:rsidRPr="007F4067">
        <w:rPr>
          <w:bCs/>
          <w:sz w:val="20"/>
          <w:szCs w:val="20"/>
          <w:lang w:val="fr-FR" w:eastAsia="ar-SA"/>
        </w:rPr>
        <w:t>TPC-1251H</w:t>
      </w:r>
      <w:r w:rsidRPr="007F4067">
        <w:rPr>
          <w:sz w:val="20"/>
          <w:szCs w:val="20"/>
          <w:lang w:val="fr-FR" w:eastAsia="ar-SA"/>
        </w:rPr>
        <w:t xml:space="preserve"> sont des ordinateurs tactiles sans ventilateur économiques, utilisables dans les applications les plus exigeantes à l'intérieur ou à l'extérieur des bâtiments. Ces produits ont reçu la certification </w:t>
      </w:r>
      <w:proofErr w:type="spellStart"/>
      <w:r w:rsidRPr="007F4067">
        <w:rPr>
          <w:sz w:val="20"/>
          <w:szCs w:val="20"/>
          <w:lang w:val="fr-FR" w:eastAsia="ar-SA"/>
        </w:rPr>
        <w:t>Energy</w:t>
      </w:r>
      <w:proofErr w:type="spellEnd"/>
      <w:r w:rsidRPr="007F4067">
        <w:rPr>
          <w:sz w:val="20"/>
          <w:szCs w:val="20"/>
          <w:lang w:val="fr-FR" w:eastAsia="ar-SA"/>
        </w:rPr>
        <w:t xml:space="preserve"> Star, garantissant leur efficacité énergétique, avec une consommation réduite de 30 à 60% par rapport à d'autres PC tactiles, selon le mode d'utilisation. </w:t>
      </w:r>
    </w:p>
    <w:p w:rsidR="001D0F61" w:rsidRPr="001D0F61" w:rsidRDefault="001D0F61" w:rsidP="001D0F61">
      <w:pPr>
        <w:pStyle w:val="PR-Body"/>
        <w:spacing w:line="360" w:lineRule="auto"/>
        <w:jc w:val="both"/>
        <w:rPr>
          <w:sz w:val="20"/>
          <w:szCs w:val="20"/>
          <w:lang w:val="fr-FR" w:eastAsia="ar-SA"/>
        </w:rPr>
      </w:pPr>
    </w:p>
    <w:p w:rsidR="001D0F61" w:rsidRPr="001D0F61" w:rsidRDefault="007F4067" w:rsidP="001D0F61">
      <w:pPr>
        <w:pStyle w:val="PR-Body"/>
        <w:spacing w:line="360" w:lineRule="auto"/>
        <w:jc w:val="both"/>
        <w:rPr>
          <w:bCs/>
          <w:sz w:val="20"/>
          <w:szCs w:val="20"/>
          <w:lang w:val="fr-FR" w:eastAsia="ar-SA"/>
        </w:rPr>
      </w:pPr>
      <w:r w:rsidRPr="007F4067">
        <w:rPr>
          <w:sz w:val="20"/>
          <w:szCs w:val="20"/>
          <w:lang w:val="fr-FR" w:eastAsia="ar-SA"/>
        </w:rPr>
        <w:t xml:space="preserve">Les TPC-651H et </w:t>
      </w:r>
      <w:r w:rsidRPr="007F4067">
        <w:rPr>
          <w:bCs/>
          <w:sz w:val="20"/>
          <w:szCs w:val="20"/>
          <w:lang w:val="fr-FR" w:eastAsia="ar-SA"/>
        </w:rPr>
        <w:t>TPC-1251H</w:t>
      </w:r>
      <w:r w:rsidRPr="007F4067">
        <w:rPr>
          <w:sz w:val="20"/>
          <w:szCs w:val="20"/>
          <w:lang w:val="fr-FR" w:eastAsia="ar-SA"/>
        </w:rPr>
        <w:t xml:space="preserve"> offrent une isolation de 2 KV sur les ports série comme protection contre les chocs accidentels, les surtensions et les boucles de masse. L'isolation évite aussi les déconnexions causées par des erreurs imprévues. Les</w:t>
      </w:r>
      <w:r>
        <w:rPr>
          <w:bCs/>
          <w:sz w:val="20"/>
          <w:szCs w:val="20"/>
          <w:lang w:val="fr-FR" w:eastAsia="ar-SA"/>
        </w:rPr>
        <w:t xml:space="preserve"> </w:t>
      </w:r>
      <w:r w:rsidRPr="007F4067">
        <w:rPr>
          <w:bCs/>
          <w:sz w:val="20"/>
          <w:szCs w:val="20"/>
          <w:lang w:val="fr-FR" w:eastAsia="ar-SA"/>
        </w:rPr>
        <w:t xml:space="preserve">processeurs basse tension et les drains thermiques autorisent une conception innovante sans ventilateur ; ces PC tactiles sont conçus de manière très flexible, grâce à leur fond de panier universel qui se </w:t>
      </w:r>
      <w:r w:rsidR="001D0F61">
        <w:rPr>
          <w:bCs/>
          <w:sz w:val="20"/>
          <w:szCs w:val="20"/>
          <w:lang w:val="fr-FR" w:eastAsia="ar-SA"/>
        </w:rPr>
        <w:t>r</w:t>
      </w:r>
      <w:r w:rsidRPr="007F4067">
        <w:rPr>
          <w:bCs/>
          <w:sz w:val="20"/>
          <w:szCs w:val="20"/>
          <w:lang w:val="fr-FR" w:eastAsia="ar-SA"/>
        </w:rPr>
        <w:t xml:space="preserve">elie à n'importe quelle taille d'écran LCD de modèle TPC. Les </w:t>
      </w:r>
      <w:r w:rsidRPr="007F4067">
        <w:rPr>
          <w:sz w:val="20"/>
          <w:szCs w:val="20"/>
          <w:lang w:val="fr-FR" w:eastAsia="ar-SA"/>
        </w:rPr>
        <w:t>TPC-651H/1251H sont en outre les premiers modèles de cette famille à avoir reçu l'approbation EPA (</w:t>
      </w:r>
      <w:proofErr w:type="spellStart"/>
      <w:r w:rsidRPr="007F4067">
        <w:rPr>
          <w:sz w:val="20"/>
          <w:szCs w:val="20"/>
          <w:lang w:val="fr-FR" w:eastAsia="ar-SA"/>
        </w:rPr>
        <w:t>Environmental</w:t>
      </w:r>
      <w:proofErr w:type="spellEnd"/>
      <w:r w:rsidRPr="007F4067">
        <w:rPr>
          <w:sz w:val="20"/>
          <w:szCs w:val="20"/>
          <w:lang w:val="fr-FR" w:eastAsia="ar-SA"/>
        </w:rPr>
        <w:t xml:space="preserve"> Protection </w:t>
      </w:r>
      <w:proofErr w:type="spellStart"/>
      <w:r w:rsidRPr="007F4067">
        <w:rPr>
          <w:sz w:val="20"/>
          <w:szCs w:val="20"/>
          <w:lang w:val="fr-FR" w:eastAsia="ar-SA"/>
        </w:rPr>
        <w:t>Agency</w:t>
      </w:r>
      <w:proofErr w:type="spellEnd"/>
      <w:r w:rsidRPr="007F4067">
        <w:rPr>
          <w:sz w:val="20"/>
          <w:szCs w:val="20"/>
          <w:lang w:val="fr-FR" w:eastAsia="ar-SA"/>
        </w:rPr>
        <w:t xml:space="preserve">). Avec leur face avant qualifiée </w:t>
      </w:r>
      <w:r w:rsidRPr="007F4067">
        <w:rPr>
          <w:bCs/>
          <w:sz w:val="20"/>
          <w:szCs w:val="20"/>
          <w:lang w:val="fr-FR" w:eastAsia="ar-SA"/>
        </w:rPr>
        <w:t xml:space="preserve">NEMA4/IP65, ils résistent aux conditions difficiles de n'importe quel environnement industriel, tout particulièrement dans les applications en extérieur ou dans les applications exigeantes de machines automatisées.  </w:t>
      </w:r>
    </w:p>
    <w:p w:rsidR="00B46C1D" w:rsidRPr="001D0F61" w:rsidRDefault="007F4067" w:rsidP="007A5C4D">
      <w:pPr>
        <w:spacing w:beforeLines="50" w:afterLines="50"/>
        <w:ind w:right="36"/>
        <w:rPr>
          <w:rFonts w:ascii="Arial" w:hAnsi="Arial" w:cs="Arial"/>
          <w:sz w:val="20"/>
          <w:szCs w:val="20"/>
        </w:rPr>
      </w:pPr>
      <w:r w:rsidRPr="007F4067">
        <w:rPr>
          <w:rFonts w:ascii="Arial" w:hAnsi="Arial" w:cs="Arial"/>
          <w:sz w:val="20"/>
          <w:szCs w:val="20"/>
          <w:lang w:val="fr-FR" w:eastAsia="ar-SA"/>
        </w:rPr>
        <w:t xml:space="preserve">Les TPC-651H et </w:t>
      </w:r>
      <w:r w:rsidRPr="007F4067">
        <w:rPr>
          <w:rFonts w:ascii="Arial" w:hAnsi="Arial" w:cs="Arial"/>
          <w:bCs/>
          <w:sz w:val="20"/>
          <w:szCs w:val="20"/>
          <w:lang w:val="fr-FR" w:eastAsia="ar-SA"/>
        </w:rPr>
        <w:t xml:space="preserve">TPC-1251H offrent plusieurs ports de communication standard (2 ports série et 2 ports USB 2.0) pouvant connecter une variété de périphériques. </w:t>
      </w:r>
      <w:proofErr w:type="spellStart"/>
      <w:proofErr w:type="gramStart"/>
      <w:r w:rsidRPr="007F4067">
        <w:rPr>
          <w:rFonts w:ascii="Arial" w:hAnsi="Arial" w:cs="Arial"/>
          <w:bCs/>
          <w:sz w:val="20"/>
          <w:szCs w:val="20"/>
          <w:lang w:eastAsia="ar-SA"/>
        </w:rPr>
        <w:t>Ils</w:t>
      </w:r>
      <w:proofErr w:type="spellEnd"/>
      <w:proofErr w:type="gramEnd"/>
      <w:r w:rsidRPr="007F4067">
        <w:rPr>
          <w:rFonts w:ascii="Arial" w:hAnsi="Arial" w:cs="Arial"/>
          <w:bCs/>
          <w:sz w:val="20"/>
          <w:szCs w:val="20"/>
          <w:lang w:eastAsia="ar-SA"/>
        </w:rPr>
        <w:t xml:space="preserve"> </w:t>
      </w:r>
      <w:proofErr w:type="spellStart"/>
      <w:r w:rsidRPr="007F4067">
        <w:rPr>
          <w:rFonts w:ascii="Arial" w:hAnsi="Arial" w:cs="Arial"/>
          <w:bCs/>
          <w:sz w:val="20"/>
          <w:szCs w:val="20"/>
          <w:lang w:eastAsia="ar-SA"/>
        </w:rPr>
        <w:t>supportent</w:t>
      </w:r>
      <w:proofErr w:type="spellEnd"/>
      <w:r w:rsidRPr="007F4067">
        <w:rPr>
          <w:rFonts w:ascii="Arial" w:hAnsi="Arial" w:cs="Arial"/>
          <w:bCs/>
          <w:sz w:val="20"/>
          <w:szCs w:val="20"/>
          <w:lang w:eastAsia="ar-SA"/>
        </w:rPr>
        <w:t xml:space="preserve"> Microsoft Windows XP, Windows XP Embedded, Windows CE.NET et Linux</w:t>
      </w:r>
    </w:p>
    <w:p w:rsidR="00B46C1D" w:rsidRPr="001D0F61" w:rsidRDefault="007F4067" w:rsidP="00B46C1D">
      <w:pPr>
        <w:pStyle w:val="PR-Body"/>
        <w:jc w:val="both"/>
        <w:rPr>
          <w:sz w:val="20"/>
          <w:szCs w:val="20"/>
          <w:lang w:val="fr-FR" w:eastAsia="ar-SA"/>
        </w:rPr>
      </w:pPr>
      <w:hyperlink r:id="rId9" w:history="1">
        <w:r w:rsidRPr="007F4067">
          <w:rPr>
            <w:rStyle w:val="Hyperlink"/>
            <w:sz w:val="20"/>
            <w:szCs w:val="20"/>
            <w:lang w:val="fr-FR" w:eastAsia="ar-SA"/>
          </w:rPr>
          <w:t>Fiche technique TPC-651H</w:t>
        </w:r>
      </w:hyperlink>
      <w:r w:rsidRPr="007F4067">
        <w:rPr>
          <w:sz w:val="20"/>
          <w:szCs w:val="20"/>
          <w:lang w:val="fr-FR" w:eastAsia="ar-SA"/>
        </w:rPr>
        <w:tab/>
      </w:r>
      <w:r w:rsidRPr="007F4067">
        <w:rPr>
          <w:sz w:val="20"/>
          <w:szCs w:val="20"/>
          <w:lang w:val="fr-FR" w:eastAsia="ar-SA"/>
        </w:rPr>
        <w:tab/>
      </w:r>
      <w:hyperlink r:id="rId10" w:history="1">
        <w:r w:rsidR="001D0F61">
          <w:rPr>
            <w:rStyle w:val="Hyperlink"/>
            <w:sz w:val="20"/>
            <w:szCs w:val="20"/>
            <w:lang w:val="fr-FR" w:eastAsia="ar-SA"/>
          </w:rPr>
          <w:t xml:space="preserve">Page produit </w:t>
        </w:r>
        <w:r w:rsidR="001D0F61" w:rsidRPr="001D0F61">
          <w:rPr>
            <w:rStyle w:val="Hyperlink"/>
            <w:sz w:val="20"/>
            <w:szCs w:val="20"/>
            <w:lang w:val="fr-FR" w:eastAsia="ar-SA"/>
          </w:rPr>
          <w:t>TPC-651H</w:t>
        </w:r>
      </w:hyperlink>
    </w:p>
    <w:p w:rsidR="00B46C1D" w:rsidRPr="001D0F61" w:rsidRDefault="007F4067" w:rsidP="00B46C1D">
      <w:pPr>
        <w:pStyle w:val="PR-Body"/>
        <w:jc w:val="both"/>
        <w:rPr>
          <w:sz w:val="20"/>
          <w:szCs w:val="20"/>
          <w:lang w:val="fr-FR"/>
        </w:rPr>
      </w:pPr>
      <w:hyperlink r:id="rId11" w:history="1">
        <w:r w:rsidR="001D0F61" w:rsidRPr="001D0F61">
          <w:rPr>
            <w:rStyle w:val="Hyperlink"/>
            <w:sz w:val="20"/>
            <w:szCs w:val="20"/>
            <w:lang w:val="fr-FR" w:eastAsia="ar-SA"/>
          </w:rPr>
          <w:t>Fiche technique TPC1251H</w:t>
        </w:r>
      </w:hyperlink>
      <w:r w:rsidRPr="007F4067">
        <w:rPr>
          <w:sz w:val="20"/>
          <w:szCs w:val="20"/>
          <w:lang w:val="fr-FR"/>
        </w:rPr>
        <w:t xml:space="preserve"> </w:t>
      </w:r>
      <w:r w:rsidRPr="007F4067">
        <w:rPr>
          <w:sz w:val="20"/>
          <w:szCs w:val="20"/>
          <w:lang w:val="fr-FR" w:eastAsia="ar-SA"/>
        </w:rPr>
        <w:tab/>
      </w:r>
      <w:r w:rsidRPr="007F4067">
        <w:rPr>
          <w:sz w:val="20"/>
          <w:szCs w:val="20"/>
          <w:lang w:val="fr-FR" w:eastAsia="ar-SA"/>
        </w:rPr>
        <w:tab/>
      </w:r>
      <w:hyperlink r:id="rId12" w:history="1">
        <w:r w:rsidRPr="007F4067">
          <w:rPr>
            <w:rStyle w:val="Hyperlink"/>
            <w:sz w:val="20"/>
            <w:szCs w:val="20"/>
            <w:lang w:val="fr-FR" w:eastAsia="ar-SA"/>
          </w:rPr>
          <w:t>Page produit TPC-1251H</w:t>
        </w:r>
      </w:hyperlink>
    </w:p>
    <w:p w:rsidR="00054699" w:rsidRDefault="007F4067" w:rsidP="00170F72">
      <w:pPr>
        <w:widowControl/>
        <w:adjustRightInd w:val="0"/>
        <w:snapToGrid w:val="0"/>
        <w:rPr>
          <w:rFonts w:ascii="Arial" w:hAnsi="Arial" w:cs="Arial"/>
          <w:b/>
          <w:sz w:val="20"/>
          <w:szCs w:val="20"/>
          <w:lang w:val="fr-FR"/>
        </w:rPr>
      </w:pPr>
      <w:r w:rsidRPr="007F4067">
        <w:rPr>
          <w:rFonts w:ascii="Arial" w:hAnsi="Arial" w:cs="Arial"/>
          <w:sz w:val="20"/>
          <w:szCs w:val="20"/>
          <w:lang w:val="fr-FR"/>
        </w:rPr>
        <w:t xml:space="preserve"> </w:t>
      </w:r>
    </w:p>
    <w:p w:rsidR="00AE6984" w:rsidRDefault="00AE6984" w:rsidP="00170F72">
      <w:pPr>
        <w:widowControl/>
        <w:adjustRightInd w:val="0"/>
        <w:snapToGrid w:val="0"/>
        <w:rPr>
          <w:rFonts w:ascii="Arial" w:hAnsi="Arial" w:cs="Arial"/>
          <w:b/>
          <w:sz w:val="20"/>
          <w:szCs w:val="20"/>
          <w:lang w:val="fr-FR"/>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D80BAA" w:rsidRDefault="009C634C">
      <w:pPr>
        <w:widowControl/>
        <w:adjustRightInd w:val="0"/>
        <w:snapToGrid w:val="0"/>
        <w:rPr>
          <w:rFonts w:ascii="Arial" w:hAnsi="Arial" w:cs="Arial"/>
          <w:bCs/>
          <w:sz w:val="18"/>
          <w:szCs w:val="16"/>
        </w:rPr>
      </w:pPr>
      <w:r w:rsidRPr="00AA1368">
        <w:rPr>
          <w:rFonts w:ascii="Arial" w:hAnsi="Arial" w:cs="Arial"/>
          <w:sz w:val="18"/>
          <w:szCs w:val="16"/>
          <w:lang w:val="fr-FR"/>
        </w:rPr>
        <w:t xml:space="preserve">Fondée en 1983, la société Advantech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Advantech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 xml:space="preserve">Contribuer </w:t>
      </w:r>
      <w:r w:rsidR="00410DEC">
        <w:rPr>
          <w:rFonts w:ascii="Arial" w:hAnsi="Arial" w:cs="Arial"/>
          <w:sz w:val="18"/>
          <w:szCs w:val="16"/>
          <w:lang w:val="fr-FR"/>
        </w:rPr>
        <w:t>au développement d’une</w:t>
      </w:r>
      <w:r w:rsidR="00DC38F2">
        <w:rPr>
          <w:rFonts w:ascii="Arial" w:hAnsi="Arial" w:cs="Arial"/>
          <w:sz w:val="18"/>
          <w:szCs w:val="16"/>
          <w:lang w:val="fr-FR"/>
        </w:rPr>
        <w:t xml:space="preserve">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Avec Advantech,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13"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sectPr w:rsidR="00D80BAA" w:rsidSect="00A07635">
      <w:headerReference w:type="default" r:id="rId14"/>
      <w:footerReference w:type="even" r:id="rId15"/>
      <w:footerReference w:type="default" r:id="rId16"/>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AA" w:rsidRDefault="00D80BAA">
      <w:r>
        <w:separator/>
      </w:r>
    </w:p>
    <w:p w:rsidR="00D80BAA" w:rsidRDefault="00D80BAA"/>
  </w:endnote>
  <w:endnote w:type="continuationSeparator" w:id="0">
    <w:p w:rsidR="00D80BAA" w:rsidRDefault="00D80BAA">
      <w:r>
        <w:continuationSeparator/>
      </w:r>
    </w:p>
    <w:p w:rsidR="00D80BAA" w:rsidRDefault="00D80B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E" w:rsidRDefault="007F4067">
    <w:pPr>
      <w:framePr w:wrap="around" w:vAnchor="text" w:hAnchor="margin" w:xAlign="right" w:y="1"/>
    </w:pPr>
    <w:r>
      <w:fldChar w:fldCharType="begin"/>
    </w:r>
    <w:r w:rsidR="00B5472E">
      <w:instrText xml:space="preserve">PAGE  </w:instrText>
    </w:r>
    <w:r>
      <w:fldChar w:fldCharType="end"/>
    </w:r>
  </w:p>
  <w:p w:rsidR="00B5472E" w:rsidRDefault="00B5472E">
    <w:pPr>
      <w:ind w:right="360"/>
    </w:pPr>
  </w:p>
  <w:p w:rsidR="00B5472E" w:rsidRDefault="00B547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E" w:rsidRDefault="007F4067" w:rsidP="008771D3">
    <w:pPr>
      <w:framePr w:w="186" w:h="351" w:hRule="exact" w:wrap="around" w:vAnchor="text" w:hAnchor="page" w:x="10606" w:y="-240"/>
    </w:pPr>
    <w:fldSimple w:instr="PAGE  ">
      <w:r w:rsidR="007A5C4D">
        <w:rPr>
          <w:noProof/>
        </w:rPr>
        <w:t>1</w:t>
      </w:r>
    </w:fldSimple>
  </w:p>
  <w:p w:rsidR="00B5472E" w:rsidRPr="00A0415B" w:rsidRDefault="007F4067" w:rsidP="0058734F">
    <w:pPr>
      <w:ind w:right="70"/>
      <w:jc w:val="right"/>
      <w:rPr>
        <w:rFonts w:ascii="Arial" w:hAnsi="Arial" w:cs="Arial"/>
        <w:b/>
        <w:color w:val="333399"/>
      </w:rPr>
    </w:pPr>
    <w:r w:rsidRPr="007F4067">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B5472E" w:rsidRPr="00914BCA" w:rsidRDefault="00B5472E"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AA" w:rsidRDefault="00D80BAA">
      <w:r>
        <w:separator/>
      </w:r>
    </w:p>
    <w:p w:rsidR="00D80BAA" w:rsidRDefault="00D80BAA"/>
  </w:footnote>
  <w:footnote w:type="continuationSeparator" w:id="0">
    <w:p w:rsidR="00D80BAA" w:rsidRDefault="00D80BAA">
      <w:r>
        <w:continuationSeparator/>
      </w:r>
    </w:p>
    <w:p w:rsidR="00D80BAA" w:rsidRDefault="00D80B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E" w:rsidRDefault="00B5472E"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bordersDoNotSurroundHeader/>
  <w:bordersDoNotSurroundFooter/>
  <w:proofState w:spelling="clean" w:grammar="clean"/>
  <w:attachedTemplate r:id="rId1"/>
  <w:stylePaneFormatFilter w:val="1F08"/>
  <w:defaultTabStop w:val="48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5B78"/>
    <w:rsid w:val="00177D31"/>
    <w:rsid w:val="00184E19"/>
    <w:rsid w:val="00186CEC"/>
    <w:rsid w:val="001A2ECB"/>
    <w:rsid w:val="001C35B3"/>
    <w:rsid w:val="001D0F61"/>
    <w:rsid w:val="001D1195"/>
    <w:rsid w:val="001D15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841"/>
    <w:rsid w:val="002B31F7"/>
    <w:rsid w:val="002B41D8"/>
    <w:rsid w:val="002C4CEC"/>
    <w:rsid w:val="002E1539"/>
    <w:rsid w:val="002E2783"/>
    <w:rsid w:val="00333A91"/>
    <w:rsid w:val="00341E8A"/>
    <w:rsid w:val="0034557E"/>
    <w:rsid w:val="003460B1"/>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3F7555"/>
    <w:rsid w:val="00410DEC"/>
    <w:rsid w:val="00427683"/>
    <w:rsid w:val="00436478"/>
    <w:rsid w:val="00457F6A"/>
    <w:rsid w:val="0048739F"/>
    <w:rsid w:val="004937DF"/>
    <w:rsid w:val="00495BBB"/>
    <w:rsid w:val="00496A60"/>
    <w:rsid w:val="004A4530"/>
    <w:rsid w:val="004B020D"/>
    <w:rsid w:val="004B718D"/>
    <w:rsid w:val="004D6934"/>
    <w:rsid w:val="004D7057"/>
    <w:rsid w:val="004E0725"/>
    <w:rsid w:val="004E7792"/>
    <w:rsid w:val="004F0D3B"/>
    <w:rsid w:val="004F532B"/>
    <w:rsid w:val="00500A65"/>
    <w:rsid w:val="00515C7D"/>
    <w:rsid w:val="00520CC9"/>
    <w:rsid w:val="00536FE7"/>
    <w:rsid w:val="00544762"/>
    <w:rsid w:val="005612B9"/>
    <w:rsid w:val="0056556D"/>
    <w:rsid w:val="0057559C"/>
    <w:rsid w:val="0058734F"/>
    <w:rsid w:val="005A0ABD"/>
    <w:rsid w:val="005F2D1E"/>
    <w:rsid w:val="00623847"/>
    <w:rsid w:val="00624EB4"/>
    <w:rsid w:val="00634064"/>
    <w:rsid w:val="0065136B"/>
    <w:rsid w:val="00671080"/>
    <w:rsid w:val="00676BBD"/>
    <w:rsid w:val="00694FA0"/>
    <w:rsid w:val="0069629F"/>
    <w:rsid w:val="006A6E00"/>
    <w:rsid w:val="006C3F2B"/>
    <w:rsid w:val="006D2A5F"/>
    <w:rsid w:val="006F2D09"/>
    <w:rsid w:val="006F366C"/>
    <w:rsid w:val="00742DFE"/>
    <w:rsid w:val="00773654"/>
    <w:rsid w:val="00775376"/>
    <w:rsid w:val="00780E58"/>
    <w:rsid w:val="007A5C4D"/>
    <w:rsid w:val="007B39DE"/>
    <w:rsid w:val="007C32A3"/>
    <w:rsid w:val="007D3B0A"/>
    <w:rsid w:val="007D65C7"/>
    <w:rsid w:val="007D7468"/>
    <w:rsid w:val="007F4067"/>
    <w:rsid w:val="007F6F50"/>
    <w:rsid w:val="008005E6"/>
    <w:rsid w:val="00810645"/>
    <w:rsid w:val="0081312F"/>
    <w:rsid w:val="00817A90"/>
    <w:rsid w:val="00817C92"/>
    <w:rsid w:val="008247DB"/>
    <w:rsid w:val="0083120C"/>
    <w:rsid w:val="00834288"/>
    <w:rsid w:val="00854E45"/>
    <w:rsid w:val="00854FED"/>
    <w:rsid w:val="00864945"/>
    <w:rsid w:val="008756B5"/>
    <w:rsid w:val="008771D3"/>
    <w:rsid w:val="00880051"/>
    <w:rsid w:val="008A2464"/>
    <w:rsid w:val="008A7AE9"/>
    <w:rsid w:val="008B00C0"/>
    <w:rsid w:val="008B0559"/>
    <w:rsid w:val="008B3C6F"/>
    <w:rsid w:val="008B7E62"/>
    <w:rsid w:val="008C66A3"/>
    <w:rsid w:val="008D4A77"/>
    <w:rsid w:val="008E36A6"/>
    <w:rsid w:val="008E7339"/>
    <w:rsid w:val="008E7529"/>
    <w:rsid w:val="008F6201"/>
    <w:rsid w:val="0090108C"/>
    <w:rsid w:val="00903EE1"/>
    <w:rsid w:val="009104BF"/>
    <w:rsid w:val="00931FC4"/>
    <w:rsid w:val="00935A9C"/>
    <w:rsid w:val="00937803"/>
    <w:rsid w:val="0094246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23F8E"/>
    <w:rsid w:val="00A261FC"/>
    <w:rsid w:val="00A4076D"/>
    <w:rsid w:val="00A47DCD"/>
    <w:rsid w:val="00AA1368"/>
    <w:rsid w:val="00AA1F87"/>
    <w:rsid w:val="00AA5E60"/>
    <w:rsid w:val="00AB03D2"/>
    <w:rsid w:val="00AB1112"/>
    <w:rsid w:val="00AD01A7"/>
    <w:rsid w:val="00AE6984"/>
    <w:rsid w:val="00B03605"/>
    <w:rsid w:val="00B10928"/>
    <w:rsid w:val="00B13560"/>
    <w:rsid w:val="00B20B3E"/>
    <w:rsid w:val="00B260AF"/>
    <w:rsid w:val="00B32EC5"/>
    <w:rsid w:val="00B46C1D"/>
    <w:rsid w:val="00B5160A"/>
    <w:rsid w:val="00B5472E"/>
    <w:rsid w:val="00B65AE0"/>
    <w:rsid w:val="00B65DFA"/>
    <w:rsid w:val="00B71786"/>
    <w:rsid w:val="00B72541"/>
    <w:rsid w:val="00B817ED"/>
    <w:rsid w:val="00B94D78"/>
    <w:rsid w:val="00B975CE"/>
    <w:rsid w:val="00BA20CE"/>
    <w:rsid w:val="00BA2A6C"/>
    <w:rsid w:val="00BB06CD"/>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37714"/>
    <w:rsid w:val="00D443B4"/>
    <w:rsid w:val="00D45AC9"/>
    <w:rsid w:val="00D50B76"/>
    <w:rsid w:val="00D528A1"/>
    <w:rsid w:val="00D80BAA"/>
    <w:rsid w:val="00D86590"/>
    <w:rsid w:val="00DA5C3C"/>
    <w:rsid w:val="00DA72F3"/>
    <w:rsid w:val="00DC2DD4"/>
    <w:rsid w:val="00DC38F2"/>
    <w:rsid w:val="00DC5562"/>
    <w:rsid w:val="00DC5945"/>
    <w:rsid w:val="00DC5DE8"/>
    <w:rsid w:val="00DC7856"/>
    <w:rsid w:val="00DD3FE9"/>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151C9"/>
    <w:rsid w:val="00F3478F"/>
    <w:rsid w:val="00F4192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yperlink" Target="http://www.advantech.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eu/products/TPC-1251H/mod_EF4CCF97-8DB3-4344-B478-828980269B59.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wnloadt.advantech.com/ProductFile/1-FU7ZGF/TPC-1251H_D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vantech.eu/products/TPC-651H/mod_53AD177B-169A-4323-8935-CF007683811E.aspx" TargetMode="External"/><Relationship Id="rId4" Type="http://schemas.openxmlformats.org/officeDocument/2006/relationships/webSettings" Target="webSettings.xml"/><Relationship Id="rId9" Type="http://schemas.openxmlformats.org/officeDocument/2006/relationships/hyperlink" Target="http://downloadt.advantech.com/ProductFile/1-G901OH/TPC-651H_D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9F18-96F4-42E8-9CB7-86703298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2010_EU_PR-Template</Template>
  <TotalTime>4</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3699</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3</cp:revision>
  <cp:lastPrinted>2010-03-24T10:45:00Z</cp:lastPrinted>
  <dcterms:created xsi:type="dcterms:W3CDTF">2011-02-01T15:35:00Z</dcterms:created>
  <dcterms:modified xsi:type="dcterms:W3CDTF">2011-02-01T15:41:00Z</dcterms:modified>
</cp:coreProperties>
</file>