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Presse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4D7057" w:rsidRPr="00AC1AC8" w:rsidRDefault="004D7057" w:rsidP="004D7057">
      <w:pPr>
        <w:pStyle w:val="PR-Body"/>
        <w:ind w:left="900"/>
        <w:rPr>
          <w:b/>
          <w:sz w:val="20"/>
          <w:szCs w:val="20"/>
          <w:lang w:val="fr-FR"/>
        </w:rPr>
      </w:pPr>
      <w:r w:rsidRPr="00AC1AC8">
        <w:rPr>
          <w:bCs/>
          <w:sz w:val="20"/>
          <w:szCs w:val="20"/>
          <w:lang w:val="fr-FR"/>
        </w:rPr>
        <w:t>N°Vert: 00800 24 26 80 80</w:t>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F41E6F"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FF1A3A" w:rsidRDefault="00FF1A3A" w:rsidP="00B57D9D">
      <w:pPr>
        <w:tabs>
          <w:tab w:val="left" w:pos="720"/>
        </w:tabs>
        <w:autoSpaceDE w:val="0"/>
        <w:autoSpaceDN w:val="0"/>
        <w:adjustRightInd w:val="0"/>
        <w:snapToGrid w:val="0"/>
        <w:spacing w:beforeLines="50" w:afterLines="50"/>
        <w:ind w:right="17"/>
        <w:jc w:val="center"/>
        <w:rPr>
          <w:rFonts w:ascii="Arial" w:hAnsi="Arial" w:cs="Arial"/>
          <w:b/>
          <w:kern w:val="0"/>
          <w:sz w:val="32"/>
          <w:lang w:val="fr-FR"/>
        </w:rPr>
      </w:pPr>
    </w:p>
    <w:p w:rsidR="00E549D8" w:rsidRPr="00E549D8" w:rsidRDefault="00E549D8" w:rsidP="00B57D9D">
      <w:pPr>
        <w:tabs>
          <w:tab w:val="left" w:pos="720"/>
        </w:tabs>
        <w:autoSpaceDE w:val="0"/>
        <w:autoSpaceDN w:val="0"/>
        <w:adjustRightInd w:val="0"/>
        <w:snapToGrid w:val="0"/>
        <w:spacing w:beforeLines="50" w:afterLines="50"/>
        <w:ind w:right="17"/>
        <w:jc w:val="center"/>
        <w:rPr>
          <w:rFonts w:ascii="Arial" w:hAnsi="Arial" w:cs="Arial"/>
          <w:b/>
          <w:kern w:val="0"/>
          <w:sz w:val="32"/>
          <w:lang w:val="fr-FR"/>
        </w:rPr>
      </w:pPr>
      <w:r w:rsidRPr="00E549D8">
        <w:rPr>
          <w:rFonts w:ascii="Arial" w:hAnsi="Arial" w:cs="Arial"/>
          <w:b/>
          <w:kern w:val="0"/>
          <w:sz w:val="32"/>
          <w:lang w:val="fr-FR"/>
        </w:rPr>
        <w:t xml:space="preserve">Une nouvelle gamme de plates-formes Advantech basées sur les processeurs de deuxième génération Intel® Core™   </w:t>
      </w:r>
    </w:p>
    <w:p w:rsidR="00E549D8" w:rsidRPr="00E549D8" w:rsidRDefault="00E549D8" w:rsidP="00B57D9D">
      <w:pPr>
        <w:tabs>
          <w:tab w:val="left" w:pos="720"/>
        </w:tabs>
        <w:autoSpaceDE w:val="0"/>
        <w:autoSpaceDN w:val="0"/>
        <w:adjustRightInd w:val="0"/>
        <w:spacing w:beforeLines="50" w:afterLines="50" w:line="360" w:lineRule="auto"/>
        <w:ind w:right="18"/>
        <w:contextualSpacing/>
        <w:jc w:val="center"/>
        <w:rPr>
          <w:rFonts w:ascii="Arial" w:hAnsi="Arial" w:cs="Arial"/>
          <w:kern w:val="0"/>
          <w:sz w:val="20"/>
          <w:szCs w:val="20"/>
          <w:lang w:val="fr-FR"/>
        </w:rPr>
      </w:pPr>
    </w:p>
    <w:p w:rsidR="00E549D8" w:rsidRDefault="00B57D9D" w:rsidP="00E549D8">
      <w:pPr>
        <w:adjustRightInd w:val="0"/>
        <w:snapToGrid w:val="0"/>
        <w:contextualSpacing/>
        <w:jc w:val="both"/>
        <w:rPr>
          <w:rFonts w:ascii="Arial" w:hAnsi="Arial" w:cs="Arial"/>
          <w:sz w:val="20"/>
          <w:szCs w:val="20"/>
          <w:lang w:val="fr-FR"/>
        </w:rPr>
      </w:pPr>
      <w:r>
        <w:rPr>
          <w:rFonts w:ascii="Arial" w:hAnsi="Arial" w:cs="Arial"/>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SOM-5890_3D_G" style="position:absolute;left:0;text-align:left;margin-left:336.4pt;margin-top:5.6pt;width:119.7pt;height:119.7pt;z-index:-1;visibility:visible">
            <v:imagedata r:id="rId9" o:title="SOM-5890_3D_G"/>
            <w10:wrap type="square"/>
          </v:shape>
        </w:pict>
      </w:r>
      <w:r w:rsidR="00E549D8" w:rsidRPr="00E549D8">
        <w:rPr>
          <w:rFonts w:ascii="Arial" w:hAnsi="Arial" w:cs="Arial"/>
          <w:i/>
          <w:sz w:val="20"/>
          <w:szCs w:val="20"/>
          <w:lang w:val="fr-FR"/>
        </w:rPr>
        <w:t>Février 2011</w:t>
      </w:r>
      <w:r w:rsidR="00E549D8">
        <w:rPr>
          <w:rFonts w:ascii="Arial" w:hAnsi="Arial" w:cs="Arial"/>
          <w:sz w:val="20"/>
          <w:szCs w:val="20"/>
          <w:lang w:val="fr-FR"/>
        </w:rPr>
        <w:t xml:space="preserve"> - </w:t>
      </w:r>
      <w:r w:rsidR="00E549D8" w:rsidRPr="00E549D8">
        <w:rPr>
          <w:rFonts w:ascii="Arial" w:hAnsi="Arial" w:cs="Arial"/>
          <w:sz w:val="20"/>
          <w:szCs w:val="20"/>
          <w:lang w:val="fr-FR"/>
        </w:rPr>
        <w:t xml:space="preserve">Advantech, fournisseur de plates-formes embarquées et de services d'intégration annonce une nouvelle gamme de cartes embarquées basées sur le nouveau processeur de deuxième génération Intel® Core™ i7, réunissant performances d'intelligence, rendement énergétique et Intel® HD Graphics avec support DX10. </w:t>
      </w:r>
    </w:p>
    <w:p w:rsidR="00E549D8" w:rsidRDefault="00E549D8" w:rsidP="00E549D8">
      <w:pPr>
        <w:adjustRightInd w:val="0"/>
        <w:snapToGrid w:val="0"/>
        <w:contextualSpacing/>
        <w:jc w:val="both"/>
        <w:rPr>
          <w:rFonts w:ascii="Arial" w:hAnsi="Arial" w:cs="Arial"/>
          <w:sz w:val="20"/>
          <w:szCs w:val="20"/>
          <w:lang w:val="fr-FR"/>
        </w:rPr>
      </w:pPr>
    </w:p>
    <w:p w:rsidR="00E549D8" w:rsidRDefault="00E549D8" w:rsidP="00E549D8">
      <w:pPr>
        <w:adjustRightInd w:val="0"/>
        <w:snapToGrid w:val="0"/>
        <w:contextualSpacing/>
        <w:jc w:val="both"/>
        <w:rPr>
          <w:rFonts w:ascii="Arial" w:hAnsi="Arial" w:cs="Arial"/>
          <w:sz w:val="20"/>
          <w:szCs w:val="20"/>
          <w:lang w:val="fr-FR"/>
        </w:rPr>
      </w:pPr>
      <w:r w:rsidRPr="00E549D8">
        <w:rPr>
          <w:rFonts w:ascii="Arial" w:hAnsi="Arial" w:cs="Arial"/>
          <w:sz w:val="20"/>
          <w:szCs w:val="20"/>
          <w:lang w:val="fr-FR"/>
        </w:rPr>
        <w:t xml:space="preserve">Membre éminent de l'Intel® Embedded Alliance, Advantech développe et propose en permanence des solutions de pointe basées sur les dernières plates-formes Intel®, dont les performances, la fiabilité, la longévité et les qualités de design aident les clients à réduire le délai de mise sur le marché. </w:t>
      </w:r>
    </w:p>
    <w:p w:rsidR="00E549D8" w:rsidRDefault="00E549D8" w:rsidP="00E549D8">
      <w:pPr>
        <w:adjustRightInd w:val="0"/>
        <w:snapToGrid w:val="0"/>
        <w:contextualSpacing/>
        <w:jc w:val="both"/>
        <w:rPr>
          <w:rFonts w:ascii="Arial" w:hAnsi="Arial" w:cs="Arial"/>
          <w:sz w:val="20"/>
          <w:szCs w:val="20"/>
          <w:lang w:val="fr-FR"/>
        </w:rPr>
      </w:pPr>
    </w:p>
    <w:p w:rsidR="00E549D8" w:rsidRPr="00E549D8" w:rsidRDefault="00AE2E86" w:rsidP="00E549D8">
      <w:pPr>
        <w:adjustRightInd w:val="0"/>
        <w:snapToGrid w:val="0"/>
        <w:contextualSpacing/>
        <w:jc w:val="both"/>
        <w:rPr>
          <w:rFonts w:ascii="Arial" w:hAnsi="Arial" w:cs="Arial"/>
          <w:sz w:val="20"/>
          <w:szCs w:val="20"/>
          <w:lang w:val="fr-FR"/>
        </w:rPr>
      </w:pPr>
      <w:r>
        <w:rPr>
          <w:rFonts w:ascii="Arial" w:hAnsi="Arial" w:cs="Arial"/>
          <w:sz w:val="20"/>
          <w:szCs w:val="20"/>
          <w:lang w:val="fr-FR"/>
        </w:rPr>
        <w:t xml:space="preserve">Un éventail complet de formats de cartes est basé </w:t>
      </w:r>
      <w:r w:rsidR="00E549D8" w:rsidRPr="00E549D8">
        <w:rPr>
          <w:rFonts w:ascii="Arial" w:hAnsi="Arial" w:cs="Arial"/>
          <w:sz w:val="20"/>
          <w:szCs w:val="20"/>
          <w:lang w:val="fr-FR"/>
        </w:rPr>
        <w:t xml:space="preserve">sur le processeur de deuxième génération Intel Core i7. Ces produits de pointe offrent des performances ciblées pour des solutions de médias numériques et multitâches de très haut niveau. Ils trouvent leur place dans un très large éventail d'applications, notamment : les télécoms, l'automatisation industrielle, les applications militaires, le secteur médical et les jeux. </w:t>
      </w:r>
    </w:p>
    <w:p w:rsidR="00E549D8" w:rsidRDefault="00E549D8" w:rsidP="00E549D8">
      <w:pPr>
        <w:adjustRightInd w:val="0"/>
        <w:snapToGrid w:val="0"/>
        <w:contextualSpacing/>
        <w:jc w:val="both"/>
        <w:rPr>
          <w:rFonts w:ascii="Arial" w:hAnsi="Arial" w:cs="Arial"/>
          <w:sz w:val="20"/>
          <w:szCs w:val="20"/>
          <w:lang w:val="fr-FR"/>
        </w:rPr>
      </w:pPr>
    </w:p>
    <w:p w:rsidR="00B57D9D" w:rsidRDefault="00B57D9D" w:rsidP="00E549D8">
      <w:pPr>
        <w:adjustRightInd w:val="0"/>
        <w:snapToGrid w:val="0"/>
        <w:contextualSpacing/>
        <w:jc w:val="both"/>
        <w:rPr>
          <w:rFonts w:ascii="Arial" w:hAnsi="Arial" w:cs="Arial"/>
          <w:sz w:val="20"/>
          <w:szCs w:val="20"/>
          <w:lang w:val="fr-FR"/>
        </w:rPr>
      </w:pPr>
    </w:p>
    <w:p w:rsidR="00B57D9D" w:rsidRPr="00E549D8" w:rsidRDefault="00B57D9D" w:rsidP="00E549D8">
      <w:pPr>
        <w:adjustRightInd w:val="0"/>
        <w:snapToGrid w:val="0"/>
        <w:contextualSpacing/>
        <w:jc w:val="both"/>
        <w:rPr>
          <w:rFonts w:ascii="Arial" w:hAnsi="Arial" w:cs="Arial"/>
          <w:sz w:val="20"/>
          <w:szCs w:val="20"/>
          <w:lang w:val="fr-FR"/>
        </w:rPr>
      </w:pPr>
    </w:p>
    <w:p w:rsidR="00FF1A3A" w:rsidRDefault="00E549D8" w:rsidP="00E549D8">
      <w:pPr>
        <w:adjustRightInd w:val="0"/>
        <w:snapToGrid w:val="0"/>
        <w:contextualSpacing/>
        <w:jc w:val="both"/>
        <w:rPr>
          <w:rFonts w:ascii="Arial" w:hAnsi="Arial" w:cs="Arial"/>
          <w:sz w:val="20"/>
          <w:szCs w:val="20"/>
          <w:lang w:val="fr-FR"/>
        </w:rPr>
      </w:pPr>
      <w:r w:rsidRPr="00E549D8">
        <w:rPr>
          <w:rFonts w:ascii="Arial" w:hAnsi="Arial" w:cs="Arial"/>
          <w:sz w:val="20"/>
          <w:szCs w:val="20"/>
          <w:lang w:val="fr-FR"/>
        </w:rPr>
        <w:t xml:space="preserve">Basée sur le processeur de deuxième génération Intel Core i7 et le chipset Intel® Q67, la nouvelle gamme de plates-formes embarquées d'Advantech a été développée dans divers facteurs de forme : les cartes mères industrielles, PICMG 1.3 SHB, et les cartes mères serveur basées sur ATX. </w:t>
      </w:r>
    </w:p>
    <w:p w:rsidR="00FF1A3A" w:rsidRDefault="00FF1A3A" w:rsidP="00E549D8">
      <w:pPr>
        <w:adjustRightInd w:val="0"/>
        <w:snapToGrid w:val="0"/>
        <w:contextualSpacing/>
        <w:jc w:val="both"/>
        <w:rPr>
          <w:rFonts w:ascii="Arial" w:hAnsi="Arial" w:cs="Arial"/>
          <w:sz w:val="20"/>
          <w:szCs w:val="20"/>
          <w:lang w:val="fr-FR"/>
        </w:rPr>
      </w:pPr>
    </w:p>
    <w:p w:rsidR="00FF1A3A" w:rsidRDefault="00F41E6F" w:rsidP="00E549D8">
      <w:pPr>
        <w:adjustRightInd w:val="0"/>
        <w:snapToGrid w:val="0"/>
        <w:contextualSpacing/>
        <w:jc w:val="both"/>
        <w:rPr>
          <w:rFonts w:ascii="Arial" w:hAnsi="Arial" w:cs="Arial"/>
          <w:sz w:val="20"/>
          <w:szCs w:val="20"/>
          <w:lang w:val="fr-FR"/>
        </w:rPr>
      </w:pPr>
      <w:r w:rsidRPr="00F41E6F">
        <w:rPr>
          <w:rFonts w:ascii="Arial" w:hAnsi="Arial" w:cs="Arial"/>
          <w:noProof/>
          <w:sz w:val="20"/>
          <w:szCs w:val="20"/>
          <w:lang w:val="fr-FR"/>
        </w:rPr>
        <w:pict>
          <v:shape id="Picture 11" o:spid="_x0000_s1028" type="#_x0000_t75" alt="PCE-5126_3D" style="position:absolute;left:0;text-align:left;margin-left:303.9pt;margin-top:11.25pt;width:163pt;height:78.4pt;z-index:2;visibility:visible">
            <v:imagedata r:id="rId10" o:title="" croptop="2952f" cropbottom="3386f" cropleft="1893f" cropright="-43f"/>
            <w10:wrap type="square"/>
          </v:shape>
        </w:pict>
      </w:r>
      <w:r w:rsidR="00E549D8" w:rsidRPr="00E549D8">
        <w:rPr>
          <w:rFonts w:ascii="Arial" w:hAnsi="Arial" w:cs="Arial"/>
          <w:sz w:val="20"/>
          <w:szCs w:val="20"/>
          <w:lang w:val="fr-FR"/>
        </w:rPr>
        <w:t xml:space="preserve">La carte mère MicroATX, </w:t>
      </w:r>
      <w:hyperlink r:id="rId11" w:history="1">
        <w:r w:rsidR="00E549D8" w:rsidRPr="00E549D8">
          <w:rPr>
            <w:rStyle w:val="Hyperlink"/>
            <w:rFonts w:ascii="Arial" w:hAnsi="Arial" w:cs="Arial"/>
            <w:sz w:val="20"/>
            <w:szCs w:val="20"/>
            <w:lang w:val="fr-FR"/>
          </w:rPr>
          <w:t>AIMB-581</w:t>
        </w:r>
      </w:hyperlink>
      <w:r w:rsidR="00E549D8" w:rsidRPr="00E549D8">
        <w:rPr>
          <w:rFonts w:ascii="Arial" w:hAnsi="Arial" w:cs="Arial"/>
          <w:sz w:val="20"/>
          <w:szCs w:val="20"/>
          <w:lang w:val="fr-FR"/>
        </w:rPr>
        <w:t xml:space="preserve"> (244 x 244 mm), la carte mère ATX, </w:t>
      </w:r>
      <w:hyperlink r:id="rId12" w:history="1">
        <w:r w:rsidR="00E549D8" w:rsidRPr="00E549D8">
          <w:rPr>
            <w:rStyle w:val="Hyperlink"/>
            <w:rFonts w:ascii="Arial" w:hAnsi="Arial" w:cs="Arial"/>
            <w:sz w:val="20"/>
            <w:szCs w:val="20"/>
            <w:lang w:val="fr-FR"/>
          </w:rPr>
          <w:t>AIMB-781</w:t>
        </w:r>
      </w:hyperlink>
      <w:r w:rsidR="00E549D8" w:rsidRPr="00E549D8">
        <w:rPr>
          <w:rFonts w:ascii="Arial" w:hAnsi="Arial" w:cs="Arial"/>
          <w:sz w:val="20"/>
          <w:szCs w:val="20"/>
          <w:lang w:val="fr-FR"/>
        </w:rPr>
        <w:t xml:space="preserve"> (304,8 x 244 mm) et la PICMG 1.3 SBC, </w:t>
      </w:r>
      <w:hyperlink r:id="rId13" w:history="1">
        <w:r w:rsidR="00E549D8" w:rsidRPr="00E549D8">
          <w:rPr>
            <w:rStyle w:val="Hyperlink"/>
            <w:rFonts w:ascii="Arial" w:hAnsi="Arial" w:cs="Arial"/>
            <w:sz w:val="20"/>
            <w:szCs w:val="20"/>
            <w:lang w:val="fr-FR"/>
          </w:rPr>
          <w:t>PCE-5126</w:t>
        </w:r>
      </w:hyperlink>
      <w:r w:rsidR="00E549D8" w:rsidRPr="00E549D8">
        <w:rPr>
          <w:rFonts w:ascii="Arial" w:hAnsi="Arial" w:cs="Arial"/>
          <w:sz w:val="20"/>
          <w:szCs w:val="20"/>
          <w:lang w:val="fr-FR"/>
        </w:rPr>
        <w:t xml:space="preserve"> (338,58 x 126,39 mm) réunissent des avantages majeurs : intelligence, rendement énergétique, Intel HD Graphics intégré, DX10.1 et OpenGL 3.0. Tous ces produits offrent un très haut niveau de performance, d'évolutivité et de polyvalence, idéal pour les applications à forte utilisation de médias. La plate-forme ASMB-220 est une carte serveur destinée aux applications industrielles de commande, d'automatisation et de surveillance. </w:t>
      </w:r>
    </w:p>
    <w:p w:rsidR="00FF1A3A" w:rsidRDefault="00FF1A3A" w:rsidP="00E549D8">
      <w:pPr>
        <w:adjustRightInd w:val="0"/>
        <w:snapToGrid w:val="0"/>
        <w:contextualSpacing/>
        <w:jc w:val="both"/>
        <w:rPr>
          <w:rFonts w:ascii="Arial" w:hAnsi="Arial" w:cs="Arial"/>
          <w:sz w:val="20"/>
          <w:szCs w:val="20"/>
          <w:lang w:val="fr-FR"/>
        </w:rPr>
      </w:pPr>
    </w:p>
    <w:p w:rsidR="00E549D8" w:rsidRPr="00E549D8" w:rsidRDefault="00E549D8" w:rsidP="00E549D8">
      <w:pPr>
        <w:adjustRightInd w:val="0"/>
        <w:snapToGrid w:val="0"/>
        <w:contextualSpacing/>
        <w:jc w:val="both"/>
        <w:rPr>
          <w:rFonts w:ascii="Arial" w:hAnsi="Arial" w:cs="Arial"/>
          <w:sz w:val="20"/>
          <w:szCs w:val="20"/>
          <w:lang w:val="fr-FR"/>
        </w:rPr>
      </w:pPr>
      <w:r w:rsidRPr="00E549D8">
        <w:rPr>
          <w:rFonts w:ascii="Arial" w:hAnsi="Arial" w:cs="Arial"/>
          <w:sz w:val="20"/>
          <w:szCs w:val="20"/>
          <w:lang w:val="fr-FR"/>
        </w:rPr>
        <w:t xml:space="preserve">Cette gamme offre un schéma de configuration exceptionnel, permettant une excellente ventilation adaptée au châssis complet d'Advantech avec cartes d'extension multiples et prise en charge de carte en pleine longueur. </w:t>
      </w:r>
    </w:p>
    <w:p w:rsidR="00E549D8" w:rsidRDefault="00E549D8" w:rsidP="00E549D8">
      <w:pPr>
        <w:adjustRightInd w:val="0"/>
        <w:snapToGrid w:val="0"/>
        <w:contextualSpacing/>
        <w:jc w:val="both"/>
        <w:rPr>
          <w:rFonts w:ascii="Arial" w:hAnsi="Arial" w:cs="Arial"/>
          <w:sz w:val="20"/>
          <w:szCs w:val="20"/>
          <w:lang w:val="fr-FR"/>
        </w:rPr>
      </w:pPr>
    </w:p>
    <w:p w:rsidR="00FF1A3A" w:rsidRDefault="00FF1A3A" w:rsidP="00E549D8">
      <w:pPr>
        <w:adjustRightInd w:val="0"/>
        <w:snapToGrid w:val="0"/>
        <w:contextualSpacing/>
        <w:jc w:val="both"/>
        <w:rPr>
          <w:rFonts w:ascii="Arial" w:hAnsi="Arial" w:cs="Arial"/>
          <w:sz w:val="20"/>
          <w:szCs w:val="20"/>
          <w:lang w:val="fr-FR"/>
        </w:rPr>
      </w:pPr>
    </w:p>
    <w:p w:rsidR="00B57D9D" w:rsidRDefault="00B57D9D" w:rsidP="00E549D8">
      <w:pPr>
        <w:adjustRightInd w:val="0"/>
        <w:snapToGrid w:val="0"/>
        <w:contextualSpacing/>
        <w:jc w:val="both"/>
        <w:rPr>
          <w:rFonts w:ascii="Arial" w:hAnsi="Arial" w:cs="Arial"/>
          <w:sz w:val="20"/>
          <w:szCs w:val="20"/>
          <w:lang w:val="fr-FR"/>
        </w:rPr>
      </w:pPr>
    </w:p>
    <w:p w:rsidR="00B57D9D" w:rsidRDefault="00B57D9D" w:rsidP="00E549D8">
      <w:pPr>
        <w:adjustRightInd w:val="0"/>
        <w:snapToGrid w:val="0"/>
        <w:contextualSpacing/>
        <w:jc w:val="both"/>
        <w:rPr>
          <w:rFonts w:ascii="Arial" w:hAnsi="Arial" w:cs="Arial"/>
          <w:sz w:val="20"/>
          <w:szCs w:val="20"/>
          <w:lang w:val="fr-FR"/>
        </w:rPr>
      </w:pPr>
    </w:p>
    <w:p w:rsidR="00B57D9D" w:rsidRDefault="00B57D9D" w:rsidP="00E549D8">
      <w:pPr>
        <w:adjustRightInd w:val="0"/>
        <w:snapToGrid w:val="0"/>
        <w:contextualSpacing/>
        <w:jc w:val="both"/>
        <w:rPr>
          <w:rFonts w:ascii="Arial" w:hAnsi="Arial" w:cs="Arial"/>
          <w:sz w:val="20"/>
          <w:szCs w:val="20"/>
          <w:lang w:val="fr-FR"/>
        </w:rPr>
      </w:pPr>
    </w:p>
    <w:p w:rsidR="00B57D9D" w:rsidRPr="00E549D8" w:rsidRDefault="00B57D9D" w:rsidP="00E549D8">
      <w:pPr>
        <w:adjustRightInd w:val="0"/>
        <w:snapToGrid w:val="0"/>
        <w:contextualSpacing/>
        <w:jc w:val="both"/>
        <w:rPr>
          <w:rFonts w:ascii="Arial" w:hAnsi="Arial" w:cs="Arial"/>
          <w:sz w:val="20"/>
          <w:szCs w:val="20"/>
          <w:lang w:val="fr-FR"/>
        </w:rPr>
      </w:pPr>
    </w:p>
    <w:p w:rsidR="00FF1A3A" w:rsidRDefault="00F41E6F" w:rsidP="00E549D8">
      <w:pPr>
        <w:adjustRightInd w:val="0"/>
        <w:snapToGrid w:val="0"/>
        <w:contextualSpacing/>
        <w:jc w:val="both"/>
        <w:rPr>
          <w:rFonts w:ascii="Arial" w:hAnsi="Arial" w:cs="Arial"/>
          <w:sz w:val="20"/>
          <w:szCs w:val="20"/>
          <w:lang w:val="fr-FR"/>
        </w:rPr>
      </w:pPr>
      <w:r w:rsidRPr="00F41E6F">
        <w:rPr>
          <w:rFonts w:ascii="Arial" w:hAnsi="Arial" w:cs="Arial"/>
          <w:noProof/>
          <w:sz w:val="20"/>
          <w:szCs w:val="20"/>
          <w:lang w:val="fr-FR"/>
        </w:rPr>
        <w:lastRenderedPageBreak/>
        <w:pict>
          <v:shape id="Picture 8" o:spid="_x0000_s1027" type="#_x0000_t75" alt="AIMB-272_3D_G" style="position:absolute;left:0;text-align:left;margin-left:344.15pt;margin-top:5.9pt;width:127.25pt;height:98.8pt;z-index:1;visibility:visible">
            <v:imagedata r:id="rId14" o:title="" croptop="14621f" cropbottom="11646f" cropleft="7313f" cropright="7648f"/>
            <w10:wrap type="square"/>
          </v:shape>
        </w:pict>
      </w:r>
      <w:r w:rsidR="00E549D8" w:rsidRPr="00E549D8">
        <w:rPr>
          <w:rFonts w:ascii="Arial" w:hAnsi="Arial" w:cs="Arial"/>
          <w:sz w:val="20"/>
          <w:szCs w:val="20"/>
          <w:lang w:val="fr-FR"/>
        </w:rPr>
        <w:t xml:space="preserve">Basé sur le processeur de deuxième génération Intel Core i7 et le chipset Intel® QM67 Express, le module de base COM-Express, </w:t>
      </w:r>
      <w:hyperlink r:id="rId15" w:history="1">
        <w:r w:rsidR="00E549D8" w:rsidRPr="00E549D8">
          <w:rPr>
            <w:rStyle w:val="Hyperlink"/>
            <w:rFonts w:ascii="Arial" w:hAnsi="Arial" w:cs="Arial"/>
            <w:sz w:val="20"/>
            <w:szCs w:val="20"/>
            <w:lang w:val="fr-FR"/>
          </w:rPr>
          <w:t>SOM-5890</w:t>
        </w:r>
      </w:hyperlink>
      <w:r w:rsidR="00E549D8" w:rsidRPr="00E549D8">
        <w:rPr>
          <w:rFonts w:ascii="Arial" w:hAnsi="Arial" w:cs="Arial"/>
          <w:sz w:val="20"/>
          <w:szCs w:val="20"/>
          <w:lang w:val="fr-FR"/>
        </w:rPr>
        <w:t xml:space="preserve"> (95 x 125 mm) est conforme à la nouvelle spécification PICMG COM.0 R2.0 type 6. Le </w:t>
      </w:r>
      <w:hyperlink r:id="rId16" w:history="1">
        <w:r w:rsidR="00E549D8" w:rsidRPr="00E549D8">
          <w:rPr>
            <w:rStyle w:val="Hyperlink"/>
            <w:rFonts w:ascii="Arial" w:hAnsi="Arial" w:cs="Arial"/>
            <w:sz w:val="20"/>
            <w:szCs w:val="20"/>
            <w:lang w:val="fr-FR"/>
          </w:rPr>
          <w:t>SOM-5890</w:t>
        </w:r>
      </w:hyperlink>
      <w:r w:rsidR="00E549D8" w:rsidRPr="00E549D8">
        <w:rPr>
          <w:rFonts w:ascii="Arial" w:hAnsi="Arial" w:cs="Arial"/>
          <w:sz w:val="20"/>
          <w:szCs w:val="20"/>
          <w:lang w:val="fr-FR"/>
        </w:rPr>
        <w:t xml:space="preserve"> supporte la mémoire en version ECC/non ECC, l'interface SATA 6Gb/s, le port PCI Express x16 Gen2 et les interfaces intégrées HDMI/DVI/Displayport. Par ses performances et la richesse des interfaces graphiques, c'est la solution la plus adaptée pour les applications extrêmement exigeantes en termes de traitement, de graphisme et d'affichage multi-écran. </w:t>
      </w:r>
    </w:p>
    <w:p w:rsidR="00AE2E86" w:rsidRDefault="00AE2E86" w:rsidP="00E549D8">
      <w:pPr>
        <w:adjustRightInd w:val="0"/>
        <w:snapToGrid w:val="0"/>
        <w:contextualSpacing/>
        <w:jc w:val="both"/>
        <w:rPr>
          <w:rFonts w:ascii="Arial" w:hAnsi="Arial" w:cs="Arial"/>
          <w:sz w:val="20"/>
          <w:szCs w:val="20"/>
          <w:lang w:val="fr-FR"/>
        </w:rPr>
      </w:pPr>
    </w:p>
    <w:p w:rsidR="00E549D8" w:rsidRPr="00E549D8" w:rsidRDefault="00E549D8" w:rsidP="00E549D8">
      <w:pPr>
        <w:adjustRightInd w:val="0"/>
        <w:snapToGrid w:val="0"/>
        <w:contextualSpacing/>
        <w:jc w:val="both"/>
        <w:rPr>
          <w:rFonts w:ascii="Arial" w:hAnsi="Arial" w:cs="Arial"/>
          <w:sz w:val="20"/>
          <w:szCs w:val="20"/>
          <w:lang w:val="fr-FR"/>
        </w:rPr>
      </w:pPr>
      <w:r w:rsidRPr="00E549D8">
        <w:rPr>
          <w:rFonts w:ascii="Arial" w:hAnsi="Arial" w:cs="Arial"/>
          <w:sz w:val="20"/>
          <w:szCs w:val="20"/>
          <w:lang w:val="fr-FR"/>
        </w:rPr>
        <w:t xml:space="preserve">Advantech va également sortir sous peu une nouvelle carte mère industrielle appelée </w:t>
      </w:r>
      <w:hyperlink r:id="rId17" w:history="1">
        <w:r w:rsidRPr="00E549D8">
          <w:rPr>
            <w:rStyle w:val="Hyperlink"/>
            <w:rFonts w:ascii="Arial" w:hAnsi="Arial" w:cs="Arial"/>
            <w:sz w:val="20"/>
            <w:szCs w:val="20"/>
            <w:lang w:val="fr-FR"/>
          </w:rPr>
          <w:t>AIMB-272</w:t>
        </w:r>
      </w:hyperlink>
      <w:r w:rsidRPr="00E549D8">
        <w:rPr>
          <w:rFonts w:ascii="Arial" w:hAnsi="Arial" w:cs="Arial"/>
          <w:sz w:val="20"/>
          <w:szCs w:val="20"/>
          <w:lang w:val="fr-FR"/>
        </w:rPr>
        <w:t>, compatible SATA RAID 0, 1, 5 et 10. Elle offrira des fonctions de protection système et de stockage fiables pour les applications réseau intensives, et des performances de pointe en termes d'économie d'énergie pour les cartes mères Mini-ITX.</w:t>
      </w:r>
    </w:p>
    <w:p w:rsidR="00E549D8" w:rsidRDefault="00E549D8" w:rsidP="00E549D8">
      <w:pPr>
        <w:adjustRightInd w:val="0"/>
        <w:snapToGrid w:val="0"/>
        <w:contextualSpacing/>
        <w:jc w:val="both"/>
        <w:rPr>
          <w:rFonts w:ascii="Arial" w:hAnsi="Arial" w:cs="Arial"/>
          <w:sz w:val="20"/>
          <w:szCs w:val="20"/>
          <w:lang w:val="fr-FR"/>
        </w:rPr>
      </w:pPr>
    </w:p>
    <w:p w:rsidR="00B57D9D" w:rsidRDefault="00B57D9D" w:rsidP="00E549D8">
      <w:pPr>
        <w:adjustRightInd w:val="0"/>
        <w:snapToGrid w:val="0"/>
        <w:contextualSpacing/>
        <w:jc w:val="both"/>
        <w:rPr>
          <w:rFonts w:ascii="Arial" w:hAnsi="Arial" w:cs="Arial"/>
          <w:sz w:val="20"/>
          <w:szCs w:val="20"/>
          <w:lang w:val="fr-FR"/>
        </w:rPr>
      </w:pPr>
    </w:p>
    <w:p w:rsidR="00B57D9D" w:rsidRPr="00E549D8" w:rsidRDefault="00B57D9D" w:rsidP="00E549D8">
      <w:pPr>
        <w:adjustRightInd w:val="0"/>
        <w:snapToGrid w:val="0"/>
        <w:contextualSpacing/>
        <w:jc w:val="both"/>
        <w:rPr>
          <w:rFonts w:ascii="Arial" w:hAnsi="Arial" w:cs="Arial"/>
          <w:sz w:val="20"/>
          <w:szCs w:val="20"/>
          <w:lang w:val="fr-FR"/>
        </w:rPr>
      </w:pPr>
    </w:p>
    <w:p w:rsidR="00E549D8" w:rsidRPr="00E549D8" w:rsidRDefault="00E549D8" w:rsidP="00E549D8">
      <w:pPr>
        <w:adjustRightInd w:val="0"/>
        <w:snapToGrid w:val="0"/>
        <w:contextualSpacing/>
        <w:jc w:val="both"/>
        <w:rPr>
          <w:rFonts w:ascii="Arial" w:hAnsi="Arial" w:cs="Arial"/>
          <w:sz w:val="20"/>
          <w:szCs w:val="20"/>
          <w:lang w:val="fr-FR"/>
        </w:rPr>
      </w:pPr>
      <w:r w:rsidRPr="00E549D8">
        <w:rPr>
          <w:rFonts w:ascii="Arial" w:hAnsi="Arial" w:cs="Arial"/>
          <w:sz w:val="20"/>
          <w:szCs w:val="20"/>
          <w:lang w:val="fr-FR"/>
        </w:rPr>
        <w:t xml:space="preserve">Advantech propose non seulement une gamme étendue de cartes basées sur le processeur Core, mais prend également en charge des systèmes d'exploitation multiples, dont Windows 7, XPe, WinCE, QNX et Linux. De plus, différentes API intelligentes sont fournies avec les nouvelles cartes afin de faciliter le développement d'applications. </w:t>
      </w:r>
    </w:p>
    <w:p w:rsidR="00E549D8" w:rsidRPr="00E549D8" w:rsidRDefault="00E549D8" w:rsidP="00E549D8">
      <w:pPr>
        <w:adjustRightInd w:val="0"/>
        <w:snapToGrid w:val="0"/>
        <w:rPr>
          <w:rFonts w:ascii="Arial" w:hAnsi="Arial" w:cs="Arial"/>
          <w:sz w:val="20"/>
          <w:szCs w:val="20"/>
          <w:lang w:val="fr-FR"/>
        </w:rPr>
      </w:pPr>
    </w:p>
    <w:p w:rsidR="00AE6984" w:rsidRDefault="00AE6984" w:rsidP="00170F72">
      <w:pPr>
        <w:widowControl/>
        <w:adjustRightInd w:val="0"/>
        <w:snapToGrid w:val="0"/>
        <w:rPr>
          <w:rFonts w:ascii="Arial" w:hAnsi="Arial" w:cs="Arial"/>
          <w:b/>
          <w:sz w:val="20"/>
          <w:szCs w:val="20"/>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18"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9C634C" w:rsidSect="00B57D9D">
      <w:headerReference w:type="default" r:id="rId19"/>
      <w:footerReference w:type="even" r:id="rId20"/>
      <w:footerReference w:type="default" r:id="rId21"/>
      <w:pgSz w:w="11906" w:h="16838" w:code="9"/>
      <w:pgMar w:top="1440" w:right="1133" w:bottom="567" w:left="1418" w:header="0" w:footer="69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6EC" w:rsidRDefault="009C16EC">
      <w:r>
        <w:separator/>
      </w:r>
    </w:p>
    <w:p w:rsidR="009C16EC" w:rsidRDefault="009C16EC"/>
  </w:endnote>
  <w:endnote w:type="continuationSeparator" w:id="0">
    <w:p w:rsidR="009C16EC" w:rsidRDefault="009C16EC">
      <w:r>
        <w:continuationSeparator/>
      </w:r>
    </w:p>
    <w:p w:rsidR="009C16EC" w:rsidRDefault="009C16E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41E6F">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41E6F" w:rsidP="008771D3">
    <w:pPr>
      <w:framePr w:w="186" w:h="351" w:hRule="exact" w:wrap="around" w:vAnchor="text" w:hAnchor="page" w:x="10606" w:y="-240"/>
    </w:pPr>
    <w:fldSimple w:instr="PAGE  ">
      <w:r w:rsidR="00B57D9D">
        <w:rPr>
          <w:noProof/>
        </w:rPr>
        <w:t>2</w:t>
      </w:r>
    </w:fldSimple>
  </w:p>
  <w:p w:rsidR="00AA1F87" w:rsidRPr="00A0415B" w:rsidRDefault="00B57D9D" w:rsidP="00B57D9D">
    <w:pPr>
      <w:tabs>
        <w:tab w:val="left" w:pos="1095"/>
        <w:tab w:val="right" w:pos="9285"/>
      </w:tabs>
      <w:ind w:right="70"/>
      <w:rPr>
        <w:rFonts w:ascii="Arial" w:hAnsi="Arial" w:cs="Arial"/>
        <w:b/>
        <w:color w:val="333399"/>
      </w:rPr>
    </w:pPr>
    <w:r>
      <w:rPr>
        <w:rFonts w:ascii="Arial" w:hAnsi="Arial" w:cs="Arial"/>
        <w:b/>
        <w:color w:val="333399"/>
      </w:rPr>
      <w:tab/>
    </w:r>
    <w:r>
      <w:rPr>
        <w:rFonts w:ascii="Arial" w:hAnsi="Arial" w:cs="Arial"/>
        <w:b/>
        <w:color w:val="333399"/>
      </w:rPr>
      <w:tab/>
    </w:r>
    <w:r w:rsidR="00F41E6F" w:rsidRPr="00F41E6F">
      <w:rPr>
        <w:noProof/>
      </w:rPr>
      <w:pict>
        <v:shapetype id="_x0000_t202" coordsize="21600,21600" o:spt="202" path="m,l,21600r21600,l21600,xe">
          <v:stroke joinstyle="miter"/>
          <v:path gradientshapeok="t" o:connecttype="rect"/>
        </v:shapetype>
        <v:shape id="_x0000_s2057" type="#_x0000_t202" style="position:absolute;margin-left:350.05pt;margin-top:0;width:144.2pt;height:34.8pt;z-index:1;mso-wrap-style:none;mso-position-horizontal-relative:text;mso-position-vertical-relative:text"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6EC" w:rsidRDefault="009C16EC">
      <w:r>
        <w:separator/>
      </w:r>
    </w:p>
    <w:p w:rsidR="009C16EC" w:rsidRDefault="009C16EC"/>
  </w:footnote>
  <w:footnote w:type="continuationSeparator" w:id="0">
    <w:p w:rsidR="009C16EC" w:rsidRDefault="009C16EC">
      <w:r>
        <w:continuationSeparator/>
      </w:r>
    </w:p>
    <w:p w:rsidR="009C16EC" w:rsidRDefault="009C16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41E6F"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612B9"/>
    <w:rsid w:val="0056556D"/>
    <w:rsid w:val="0057559C"/>
    <w:rsid w:val="0058734F"/>
    <w:rsid w:val="005A0ABD"/>
    <w:rsid w:val="005F2D1E"/>
    <w:rsid w:val="00623847"/>
    <w:rsid w:val="00624EB4"/>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16EC"/>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73382"/>
    <w:rsid w:val="00AA1368"/>
    <w:rsid w:val="00AA1F87"/>
    <w:rsid w:val="00AA5E60"/>
    <w:rsid w:val="00AB03D2"/>
    <w:rsid w:val="00AB1112"/>
    <w:rsid w:val="00AC1AC8"/>
    <w:rsid w:val="00AC7334"/>
    <w:rsid w:val="00AD01A7"/>
    <w:rsid w:val="00AE2E86"/>
    <w:rsid w:val="00AE6984"/>
    <w:rsid w:val="00B03605"/>
    <w:rsid w:val="00B10928"/>
    <w:rsid w:val="00B13560"/>
    <w:rsid w:val="00B20B3E"/>
    <w:rsid w:val="00B260AF"/>
    <w:rsid w:val="00B32EC5"/>
    <w:rsid w:val="00B5160A"/>
    <w:rsid w:val="00B57D9D"/>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059B"/>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549D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1E6F"/>
    <w:rsid w:val="00F452E6"/>
    <w:rsid w:val="00F532DA"/>
    <w:rsid w:val="00F66B2B"/>
    <w:rsid w:val="00F77E02"/>
    <w:rsid w:val="00F9281B"/>
    <w:rsid w:val="00FA5CB5"/>
    <w:rsid w:val="00FC260D"/>
    <w:rsid w:val="00FC3CD0"/>
    <w:rsid w:val="00FC5745"/>
    <w:rsid w:val="00FD6962"/>
    <w:rsid w:val="00FE3E79"/>
    <w:rsid w:val="00FF1A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ColorfulList-Accent11">
    <w:name w:val="Colorful List - Accent 11"/>
    <w:basedOn w:val="Normal"/>
    <w:uiPriority w:val="99"/>
    <w:qFormat/>
    <w:rsid w:val="00E549D8"/>
    <w:pPr>
      <w:ind w:leftChars="200" w:left="480"/>
    </w:pPr>
    <w:rPr>
      <w:rFonts w:ascii="Calibri" w:hAnsi="Calibri"/>
      <w:snapToGrid w:val="0"/>
      <w:szCs w:val="22"/>
      <w:lang w:eastAsia="fr-FR"/>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advantech.com.tw/products/PCE-5126/mod_723A9108-5618-4D38-B457-17667304F778.aspx" TargetMode="External"/><Relationship Id="rId18" Type="http://schemas.openxmlformats.org/officeDocument/2006/relationships/hyperlink" Target="http://www.advantech.e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ustomercare@advantech.eu" TargetMode="External"/><Relationship Id="rId12" Type="http://schemas.openxmlformats.org/officeDocument/2006/relationships/hyperlink" Target="http://www.advantech.com.tw/products/AIMB-781/mod_5FD4AD01-E471-4537-9545-9E6EC2D97505.aspx" TargetMode="External"/><Relationship Id="rId17" Type="http://schemas.openxmlformats.org/officeDocument/2006/relationships/hyperlink" Target="http://www.advantech.com/products/AIMB-272/mod_15A5F387-EEC8-48B5-863E-59C41953FF70.aspx" TargetMode="External"/><Relationship Id="rId2" Type="http://schemas.openxmlformats.org/officeDocument/2006/relationships/styles" Target="styles.xml"/><Relationship Id="rId16" Type="http://schemas.openxmlformats.org/officeDocument/2006/relationships/hyperlink" Target="http://www.advantech.com.tw/products/SOM-5890/mod_5AE6C905-EDC0-4FFA-92A0-C25FD8772717.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tw/products/AIMB-581/mod_D1F739EB-53CC-4A12-9093-CD3B2AC098DA.aspx" TargetMode="External"/><Relationship Id="rId5" Type="http://schemas.openxmlformats.org/officeDocument/2006/relationships/footnotes" Target="footnotes.xml"/><Relationship Id="rId15" Type="http://schemas.openxmlformats.org/officeDocument/2006/relationships/hyperlink" Target="http://www.advantech.com.tw/products/SOM-5890/mod_5AE6C905-EDC0-4FFA-92A0-C25FD8772717.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5372</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2010-03-24T10:45:00Z</cp:lastPrinted>
  <dcterms:created xsi:type="dcterms:W3CDTF">2011-02-04T14:27:00Z</dcterms:created>
  <dcterms:modified xsi:type="dcterms:W3CDTF">2011-02-04T16:10:00Z</dcterms:modified>
</cp:coreProperties>
</file>