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1"/>
        <w:tblW w:w="20372" w:type="dxa"/>
        <w:tblLayout w:type="fixed"/>
        <w:tblLook w:val="01E0"/>
      </w:tblPr>
      <w:tblGrid>
        <w:gridCol w:w="4928"/>
        <w:gridCol w:w="5148"/>
        <w:gridCol w:w="5148"/>
        <w:gridCol w:w="5148"/>
      </w:tblGrid>
      <w:tr w:rsidR="007D3417" w:rsidRPr="00562BC4">
        <w:tc>
          <w:tcPr>
            <w:tcW w:w="4928" w:type="dxa"/>
          </w:tcPr>
          <w:p w:rsidR="007D3417" w:rsidRPr="00562BC4" w:rsidRDefault="007D3417" w:rsidP="007D3417">
            <w:pPr>
              <w:snapToGrid w:val="0"/>
              <w:rPr>
                <w:rFonts w:ascii="Tahoma" w:hAnsi="Tahoma" w:cs="Tahoma"/>
                <w:b/>
                <w:bCs/>
                <w:sz w:val="18"/>
                <w:szCs w:val="18"/>
              </w:rPr>
            </w:pPr>
            <w:r>
              <w:rPr>
                <w:rFonts w:ascii="Tahoma" w:hAnsi="Tahoma"/>
                <w:b/>
                <w:sz w:val="18"/>
              </w:rPr>
              <w:t>Eerste Media Contact:</w:t>
            </w:r>
          </w:p>
          <w:p w:rsidR="007D3417" w:rsidRPr="00562BC4" w:rsidRDefault="007D3417" w:rsidP="007D3417">
            <w:pPr>
              <w:snapToGrid w:val="0"/>
              <w:rPr>
                <w:rFonts w:ascii="Tahoma" w:hAnsi="Tahoma" w:cs="Tahoma"/>
                <w:sz w:val="18"/>
                <w:szCs w:val="18"/>
              </w:rPr>
            </w:pPr>
            <w:r>
              <w:rPr>
                <w:rFonts w:ascii="Tahoma" w:hAnsi="Tahoma"/>
                <w:sz w:val="18"/>
              </w:rPr>
              <w:t>Advantech Europe BV</w:t>
            </w:r>
          </w:p>
          <w:p w:rsidR="007D3417" w:rsidRPr="00562BC4" w:rsidRDefault="007D3417" w:rsidP="007D3417">
            <w:pPr>
              <w:snapToGrid w:val="0"/>
              <w:rPr>
                <w:rFonts w:ascii="Tahoma" w:hAnsi="Tahoma" w:cs="Tahoma"/>
                <w:sz w:val="18"/>
                <w:szCs w:val="18"/>
              </w:rPr>
            </w:pPr>
            <w:r>
              <w:rPr>
                <w:rFonts w:ascii="Tahoma" w:hAnsi="Tahoma"/>
                <w:sz w:val="18"/>
              </w:rPr>
              <w:t>Barbara.Tritscher@Advantech.de</w:t>
            </w:r>
          </w:p>
          <w:p w:rsidR="007D3417" w:rsidRPr="00562BC4" w:rsidRDefault="007D3417" w:rsidP="007D3417">
            <w:pPr>
              <w:snapToGrid w:val="0"/>
              <w:rPr>
                <w:rFonts w:ascii="Tahoma" w:hAnsi="Tahoma" w:cs="Tahoma"/>
                <w:sz w:val="18"/>
                <w:szCs w:val="18"/>
              </w:rPr>
            </w:pPr>
            <w:r>
              <w:rPr>
                <w:rFonts w:ascii="Tahoma" w:hAnsi="Tahoma"/>
                <w:sz w:val="18"/>
              </w:rPr>
              <w:t xml:space="preserve">Tel: </w:t>
            </w:r>
            <w:r>
              <w:rPr>
                <w:color w:val="000000"/>
                <w:sz w:val="19"/>
              </w:rPr>
              <w:t>+49 (0) 89 / 12599-1038</w:t>
            </w:r>
          </w:p>
          <w:p w:rsidR="007D3417" w:rsidRPr="00562BC4" w:rsidRDefault="007D3417" w:rsidP="007D3417">
            <w:pPr>
              <w:snapToGrid w:val="0"/>
              <w:spacing w:line="200" w:lineRule="atLeast"/>
              <w:rPr>
                <w:rFonts w:ascii="Tahoma" w:hAnsi="Tahoma" w:cs="Tahoma"/>
                <w:sz w:val="18"/>
                <w:szCs w:val="18"/>
              </w:rPr>
            </w:pPr>
            <w:hyperlink r:id="rId7" w:history="1">
              <w:r>
                <w:rPr>
                  <w:rStyle w:val="Hyperlink"/>
                  <w:sz w:val="19"/>
                </w:rPr>
                <w:t>barbara.tritscher@advantech.de</w:t>
              </w:r>
            </w:hyperlink>
          </w:p>
        </w:tc>
        <w:tc>
          <w:tcPr>
            <w:tcW w:w="5148" w:type="dxa"/>
          </w:tcPr>
          <w:p w:rsidR="007D3417" w:rsidRPr="00816AE8" w:rsidRDefault="007D3417" w:rsidP="007D3417">
            <w:pPr>
              <w:pStyle w:val="PR-Body"/>
              <w:spacing w:after="120" w:line="240" w:lineRule="atLeast"/>
              <w:rPr>
                <w:rFonts w:ascii="Tahoma" w:hAnsi="Tahoma" w:cs="Tahoma"/>
                <w:b/>
                <w:kern w:val="2"/>
                <w:sz w:val="18"/>
                <w:szCs w:val="18"/>
                <w:lang w:eastAsia="zh-TW"/>
              </w:rPr>
            </w:pPr>
            <w:r w:rsidRPr="00816AE8">
              <w:rPr>
                <w:rFonts w:ascii="Tahoma" w:hAnsi="Tahoma" w:cs="Arial"/>
                <w:kern w:val="2"/>
                <w:position w:val="6"/>
                <w:sz w:val="18"/>
                <w:lang w:eastAsia="zh-TW"/>
              </w:rPr>
              <w:t xml:space="preserve"> </w:t>
            </w:r>
          </w:p>
        </w:tc>
        <w:tc>
          <w:tcPr>
            <w:tcW w:w="5148" w:type="dxa"/>
          </w:tcPr>
          <w:p w:rsidR="007D3417" w:rsidRPr="00816AE8" w:rsidRDefault="007D3417" w:rsidP="007D3417">
            <w:pPr>
              <w:pStyle w:val="PR-Body"/>
              <w:spacing w:after="120" w:line="240" w:lineRule="atLeast"/>
              <w:rPr>
                <w:rFonts w:ascii="Tahoma" w:hAnsi="Tahoma" w:cs="Tahoma"/>
                <w:b/>
                <w:kern w:val="2"/>
                <w:sz w:val="18"/>
                <w:szCs w:val="18"/>
                <w:lang w:eastAsia="zh-TW"/>
              </w:rPr>
            </w:pPr>
            <w:r w:rsidRPr="00816AE8">
              <w:rPr>
                <w:rFonts w:ascii="Tahoma" w:hAnsi="Tahoma" w:cs="Arial"/>
                <w:kern w:val="2"/>
                <w:position w:val="6"/>
                <w:sz w:val="18"/>
                <w:lang w:eastAsia="zh-TW"/>
              </w:rPr>
              <w:t xml:space="preserve"> </w:t>
            </w:r>
          </w:p>
        </w:tc>
        <w:tc>
          <w:tcPr>
            <w:tcW w:w="5148" w:type="dxa"/>
          </w:tcPr>
          <w:p w:rsidR="007D3417" w:rsidRPr="00816AE8" w:rsidRDefault="007D3417" w:rsidP="007770D0">
            <w:pPr>
              <w:pStyle w:val="PR-Body"/>
              <w:spacing w:after="120"/>
              <w:ind w:leftChars="-30" w:left="-72" w:firstLineChars="250" w:firstLine="450"/>
              <w:jc w:val="center"/>
              <w:rPr>
                <w:rFonts w:ascii="Tahoma" w:hAnsi="Tahoma" w:cs="Tahoma"/>
                <w:b/>
                <w:bCs/>
                <w:kern w:val="2"/>
                <w:sz w:val="18"/>
                <w:szCs w:val="18"/>
                <w:lang w:eastAsia="zh-TW"/>
              </w:rPr>
            </w:pPr>
            <w:r w:rsidRPr="00816AE8">
              <w:rPr>
                <w:rFonts w:ascii="Tahoma" w:hAnsi="Tahoma" w:cs="Arial"/>
                <w:b/>
                <w:kern w:val="2"/>
                <w:sz w:val="18"/>
                <w:lang w:eastAsia="zh-TW"/>
              </w:rPr>
              <w:t>2de Media Contact:</w:t>
            </w:r>
          </w:p>
        </w:tc>
      </w:tr>
    </w:tbl>
    <w:p w:rsidR="007D3417" w:rsidRDefault="007D3417" w:rsidP="007D3417">
      <w:pPr>
        <w:tabs>
          <w:tab w:val="left" w:pos="720"/>
        </w:tabs>
        <w:autoSpaceDE w:val="0"/>
        <w:autoSpaceDN w:val="0"/>
        <w:adjustRightInd w:val="0"/>
        <w:spacing w:line="360" w:lineRule="auto"/>
        <w:ind w:left="352" w:right="18" w:hanging="180"/>
        <w:jc w:val="center"/>
        <w:rPr>
          <w:rFonts w:ascii="Tahoma" w:hAnsi="Tahoma" w:cs="Tahoma"/>
          <w:b/>
          <w:sz w:val="16"/>
          <w:szCs w:val="16"/>
        </w:rPr>
      </w:pPr>
    </w:p>
    <w:p w:rsidR="007D3417" w:rsidRPr="00562BC4" w:rsidRDefault="007D3417" w:rsidP="007D3417">
      <w:pPr>
        <w:tabs>
          <w:tab w:val="left" w:pos="720"/>
        </w:tabs>
        <w:autoSpaceDE w:val="0"/>
        <w:autoSpaceDN w:val="0"/>
        <w:adjustRightInd w:val="0"/>
        <w:spacing w:line="360" w:lineRule="auto"/>
        <w:ind w:left="352" w:right="18" w:hanging="180"/>
        <w:jc w:val="center"/>
        <w:rPr>
          <w:rFonts w:ascii="Tahoma" w:hAnsi="Tahoma" w:cs="Tahoma"/>
          <w:b/>
          <w:sz w:val="16"/>
          <w:szCs w:val="16"/>
        </w:rPr>
      </w:pPr>
    </w:p>
    <w:p w:rsidR="007D3417" w:rsidRDefault="007D3417" w:rsidP="007D3417">
      <w:pPr>
        <w:tabs>
          <w:tab w:val="left" w:pos="720"/>
        </w:tabs>
        <w:autoSpaceDE w:val="0"/>
        <w:autoSpaceDN w:val="0"/>
        <w:adjustRightInd w:val="0"/>
        <w:spacing w:beforeLines="50" w:afterLines="50" w:line="360" w:lineRule="auto"/>
        <w:ind w:right="18"/>
        <w:contextualSpacing/>
        <w:jc w:val="center"/>
        <w:rPr>
          <w:rFonts w:ascii="Tahoma" w:hAnsi="Tahoma" w:cs="Tahoma"/>
          <w:b/>
          <w:sz w:val="20"/>
        </w:rPr>
      </w:pPr>
      <w:r>
        <w:rPr>
          <w:rFonts w:ascii="Tahoma" w:hAnsi="Tahoma"/>
          <w:b/>
          <w:sz w:val="28"/>
        </w:rPr>
        <w:t>AIMB-213 Mini-ITX Moederbord met Intel</w:t>
      </w:r>
      <w:r>
        <w:rPr>
          <w:rFonts w:ascii="Tahoma" w:hAnsi="Tahoma"/>
          <w:b/>
          <w:sz w:val="28"/>
          <w:vertAlign w:val="superscript"/>
        </w:rPr>
        <w:t>®</w:t>
      </w:r>
      <w:r>
        <w:rPr>
          <w:rFonts w:ascii="Tahoma" w:hAnsi="Tahoma"/>
          <w:b/>
          <w:sz w:val="28"/>
        </w:rPr>
        <w:t xml:space="preserve"> Atom™ N455/D525 Processoren en DDR3 Geheugenondersteuning</w:t>
      </w:r>
    </w:p>
    <w:p w:rsidR="007D3417" w:rsidRDefault="007D3417" w:rsidP="007D3417">
      <w:pPr>
        <w:spacing w:beforeLines="50" w:afterLines="50"/>
        <w:contextualSpacing/>
        <w:rPr>
          <w:rFonts w:ascii="Tahoma" w:hAnsi="Tahoma" w:cs="Tahoma"/>
          <w:b/>
          <w:i/>
          <w:sz w:val="21"/>
          <w:szCs w:val="21"/>
        </w:rPr>
      </w:pPr>
    </w:p>
    <w:p w:rsidR="007D3417" w:rsidRPr="00480093" w:rsidRDefault="00A606CB" w:rsidP="007D3417">
      <w:pPr>
        <w:spacing w:beforeLines="50" w:afterLines="50"/>
        <w:contextualSpacing/>
        <w:rPr>
          <w:rFonts w:ascii="Tahoma" w:hAnsi="Tahoma" w:cs="Tahoma"/>
          <w:sz w:val="21"/>
          <w:szCs w:val="21"/>
        </w:rPr>
      </w:pPr>
      <w:r>
        <w:rPr>
          <w:noProof/>
          <w:lang w:val="en-US"/>
        </w:rPr>
        <w:drawing>
          <wp:anchor distT="0" distB="0" distL="114300" distR="114300" simplePos="0" relativeHeight="251657728" behindDoc="0" locked="0" layoutInCell="1" allowOverlap="1">
            <wp:simplePos x="0" y="0"/>
            <wp:positionH relativeFrom="column">
              <wp:posOffset>3103880</wp:posOffset>
            </wp:positionH>
            <wp:positionV relativeFrom="paragraph">
              <wp:posOffset>768985</wp:posOffset>
            </wp:positionV>
            <wp:extent cx="2047240" cy="1541780"/>
            <wp:effectExtent l="0" t="0" r="0" b="0"/>
            <wp:wrapSquare wrapText="bothSides"/>
            <wp:docPr id="7" name="Picture 7" descr="AIMB-213_3D_left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MB-213_3D_left_G"/>
                    <pic:cNvPicPr>
                      <a:picLocks noChangeAspect="1" noChangeArrowheads="1"/>
                    </pic:cNvPicPr>
                  </pic:nvPicPr>
                  <pic:blipFill>
                    <a:blip r:embed="rId8"/>
                    <a:srcRect l="11670" t="23340" r="10155" b="17770"/>
                    <a:stretch>
                      <a:fillRect/>
                    </a:stretch>
                  </pic:blipFill>
                  <pic:spPr bwMode="auto">
                    <a:xfrm>
                      <a:off x="0" y="0"/>
                      <a:ext cx="2047240" cy="1541780"/>
                    </a:xfrm>
                    <a:prstGeom prst="rect">
                      <a:avLst/>
                    </a:prstGeom>
                    <a:noFill/>
                  </pic:spPr>
                </pic:pic>
              </a:graphicData>
            </a:graphic>
          </wp:anchor>
        </w:drawing>
      </w:r>
      <w:r w:rsidR="007D3417">
        <w:rPr>
          <w:rFonts w:ascii="Tahoma" w:hAnsi="Tahoma"/>
          <w:b/>
          <w:i/>
          <w:sz w:val="21"/>
        </w:rPr>
        <w:t>September 2011</w:t>
      </w:r>
      <w:r w:rsidR="007D3417">
        <w:rPr>
          <w:rFonts w:ascii="Tahoma" w:hAnsi="Tahoma"/>
          <w:b/>
          <w:sz w:val="22"/>
        </w:rPr>
        <w:t>–</w:t>
      </w:r>
      <w:r w:rsidR="007D3417">
        <w:rPr>
          <w:rFonts w:ascii="Tahoma" w:hAnsi="Tahoma"/>
          <w:sz w:val="21"/>
        </w:rPr>
        <w:t>Advantech kondigt de introductie aan van een nieuw Mini-ITX moederbord voor industriële toepassingen met de nieuwste Intel</w:t>
      </w:r>
      <w:r w:rsidR="007D3417">
        <w:rPr>
          <w:rFonts w:ascii="Tahoma" w:hAnsi="Tahoma"/>
          <w:sz w:val="21"/>
          <w:vertAlign w:val="superscript"/>
        </w:rPr>
        <w:t>®</w:t>
      </w:r>
      <w:r w:rsidR="007D3417">
        <w:rPr>
          <w:rFonts w:ascii="Tahoma" w:hAnsi="Tahoma"/>
          <w:sz w:val="21"/>
        </w:rPr>
        <w:t xml:space="preserve"> Atom™ processoren. De single-core N455 en de dual-core D525 geïntegreerde Graphics (GMA 3150) en een Memory Controller Hub (GMCH) in een enkele chip maken kleinere applicaties en een grotere energiebesparing mogelijk. </w:t>
      </w:r>
      <w:hyperlink r:id="rId9" w:history="1">
        <w:r w:rsidR="007D3417">
          <w:rPr>
            <w:rStyle w:val="Hyperlink"/>
            <w:rFonts w:ascii="Tahoma" w:hAnsi="Tahoma"/>
            <w:sz w:val="21"/>
          </w:rPr>
          <w:t>AIMB-213</w:t>
        </w:r>
      </w:hyperlink>
      <w:r w:rsidR="007D3417">
        <w:rPr>
          <w:rFonts w:ascii="Tahoma" w:hAnsi="Tahoma"/>
          <w:sz w:val="21"/>
        </w:rPr>
        <w:t xml:space="preserve"> heeft een uitgebreide I/O connectiviteit met maximaal acht USB 2.0 poorten en zes COM poorten die in een standaard170 x 170 mm vormfactor geïntegreerd zijn. Deze moederborden ondersteunen tevens het dubbele weergave vermogen voor LVDS, DVI en VGA. </w:t>
      </w:r>
    </w:p>
    <w:p w:rsidR="007D3417" w:rsidRPr="00480093" w:rsidRDefault="007D3417" w:rsidP="007D3417">
      <w:pPr>
        <w:spacing w:beforeLines="50" w:afterLines="50"/>
        <w:contextualSpacing/>
        <w:rPr>
          <w:rFonts w:ascii="Tahoma" w:hAnsi="Tahoma" w:cs="Tahoma"/>
          <w:sz w:val="21"/>
          <w:szCs w:val="21"/>
        </w:rPr>
      </w:pPr>
    </w:p>
    <w:p w:rsidR="007D3417" w:rsidRPr="00480093" w:rsidRDefault="007D3417" w:rsidP="007D3417">
      <w:pPr>
        <w:spacing w:beforeLines="50" w:afterLines="50"/>
        <w:contextualSpacing/>
        <w:rPr>
          <w:rFonts w:ascii="Tahoma" w:hAnsi="Tahoma" w:cs="Tahoma"/>
          <w:b/>
          <w:sz w:val="21"/>
          <w:szCs w:val="21"/>
        </w:rPr>
      </w:pPr>
      <w:r>
        <w:rPr>
          <w:rFonts w:ascii="Tahoma" w:hAnsi="Tahoma"/>
          <w:b/>
          <w:sz w:val="21"/>
        </w:rPr>
        <w:t>Ontwerp Beperkt Vermogen</w:t>
      </w:r>
    </w:p>
    <w:p w:rsidR="007D3417" w:rsidRDefault="007D3417" w:rsidP="007D3417">
      <w:pPr>
        <w:spacing w:beforeLines="50" w:afterLines="50"/>
        <w:contextualSpacing/>
        <w:rPr>
          <w:rFonts w:ascii="Tahoma" w:hAnsi="Tahoma" w:cs="Tahoma"/>
          <w:sz w:val="21"/>
          <w:szCs w:val="21"/>
        </w:rPr>
      </w:pPr>
      <w:hyperlink r:id="rId10" w:history="1">
        <w:r>
          <w:rPr>
            <w:rStyle w:val="Hyperlink"/>
            <w:rFonts w:ascii="Tahoma" w:hAnsi="Tahoma"/>
            <w:sz w:val="21"/>
          </w:rPr>
          <w:t>AIMB-213</w:t>
        </w:r>
      </w:hyperlink>
      <w:r>
        <w:rPr>
          <w:rFonts w:ascii="Tahoma" w:hAnsi="Tahoma"/>
          <w:sz w:val="21"/>
        </w:rPr>
        <w:t xml:space="preserve"> wordt gevoed door de nieuwste Intel Atom processoren die met een 45nm procestechnologie gebouwd zijn. De g</w:t>
      </w:r>
      <w:r w:rsidR="00D87E94">
        <w:rPr>
          <w:rFonts w:ascii="Tahoma" w:hAnsi="Tahoma"/>
          <w:sz w:val="21"/>
        </w:rPr>
        <w:t>rafische</w:t>
      </w:r>
      <w:r>
        <w:rPr>
          <w:rFonts w:ascii="Tahoma" w:hAnsi="Tahoma"/>
          <w:sz w:val="21"/>
        </w:rPr>
        <w:t xml:space="preserve"> </w:t>
      </w:r>
      <w:r w:rsidR="007770D0" w:rsidRPr="00D87E94">
        <w:rPr>
          <w:rFonts w:ascii="Tahoma" w:hAnsi="Tahoma"/>
          <w:sz w:val="21"/>
        </w:rPr>
        <w:t>chip</w:t>
      </w:r>
      <w:r w:rsidR="007770D0">
        <w:rPr>
          <w:rFonts w:ascii="Tahoma" w:hAnsi="Tahoma"/>
          <w:sz w:val="21"/>
        </w:rPr>
        <w:t xml:space="preserve"> </w:t>
      </w:r>
      <w:r>
        <w:rPr>
          <w:rFonts w:ascii="Tahoma" w:hAnsi="Tahoma"/>
          <w:sz w:val="21"/>
        </w:rPr>
        <w:t xml:space="preserve">en de geheugencontrole-eenheid zijn beiden op een enkele chip geplaatst, waardoor ruimte-efficiënte oplossingen mogelijk zijn. De Thermal Design Power (TDP) rating van de Intel Atom N455 single-core architecture is slechts 6,5 watt, terwijl de dual-core processor slechts 13 watt verbruikt, </w:t>
      </w:r>
      <w:r w:rsidR="00312A94">
        <w:rPr>
          <w:rFonts w:ascii="Tahoma" w:hAnsi="Tahoma"/>
          <w:sz w:val="21"/>
        </w:rPr>
        <w:t>ten gunste van</w:t>
      </w:r>
      <w:r>
        <w:rPr>
          <w:rFonts w:ascii="Tahoma" w:hAnsi="Tahoma"/>
          <w:sz w:val="21"/>
        </w:rPr>
        <w:t xml:space="preserve"> energiebesparing, kleinere systemen en een verbeterde performance. </w:t>
      </w:r>
      <w:hyperlink r:id="rId11" w:history="1">
        <w:r>
          <w:rPr>
            <w:rStyle w:val="Hyperlink"/>
            <w:rFonts w:ascii="Tahoma" w:hAnsi="Tahoma"/>
            <w:sz w:val="21"/>
          </w:rPr>
          <w:t>AIMB-213</w:t>
        </w:r>
      </w:hyperlink>
      <w:r>
        <w:rPr>
          <w:rFonts w:ascii="Tahoma" w:hAnsi="Tahoma"/>
          <w:sz w:val="21"/>
        </w:rPr>
        <w:t xml:space="preserve"> gebruikt een Intel ICH8M chipset, en zorgt voor een </w:t>
      </w:r>
      <w:r w:rsidRPr="006D420A">
        <w:rPr>
          <w:rFonts w:ascii="Tahoma" w:hAnsi="Tahoma"/>
          <w:sz w:val="21"/>
        </w:rPr>
        <w:t>12V</w:t>
      </w:r>
      <w:r w:rsidRPr="006D420A">
        <w:rPr>
          <w:rFonts w:ascii="Tahoma" w:hAnsi="Tahoma"/>
          <w:sz w:val="21"/>
          <w:vertAlign w:val="subscript"/>
        </w:rPr>
        <w:t>DC</w:t>
      </w:r>
      <w:r w:rsidRPr="006D420A">
        <w:rPr>
          <w:rFonts w:ascii="Tahoma" w:hAnsi="Tahoma"/>
          <w:sz w:val="21"/>
        </w:rPr>
        <w:t xml:space="preserve"> </w:t>
      </w:r>
      <w:r w:rsidR="007770D0" w:rsidRPr="006D420A">
        <w:rPr>
          <w:rFonts w:ascii="Tahoma" w:hAnsi="Tahoma"/>
          <w:sz w:val="21"/>
        </w:rPr>
        <w:t>IN</w:t>
      </w:r>
      <w:r w:rsidR="007770D0">
        <w:rPr>
          <w:rFonts w:ascii="Tahoma" w:hAnsi="Tahoma"/>
          <w:sz w:val="21"/>
        </w:rPr>
        <w:t xml:space="preserve"> </w:t>
      </w:r>
      <w:r>
        <w:rPr>
          <w:rFonts w:ascii="Tahoma" w:hAnsi="Tahoma"/>
          <w:sz w:val="21"/>
        </w:rPr>
        <w:t xml:space="preserve">ondersteuning en lagere eigendomskomsten. </w:t>
      </w:r>
      <w:hyperlink r:id="rId12" w:history="1">
        <w:r>
          <w:rPr>
            <w:rStyle w:val="Hyperlink"/>
            <w:rFonts w:ascii="Tahoma" w:hAnsi="Tahoma"/>
            <w:sz w:val="21"/>
          </w:rPr>
          <w:t>AIMB-213</w:t>
        </w:r>
      </w:hyperlink>
      <w:r>
        <w:rPr>
          <w:rFonts w:ascii="Tahoma" w:hAnsi="Tahoma"/>
          <w:sz w:val="21"/>
        </w:rPr>
        <w:t xml:space="preserve"> kan een systeemgeheugen van 2 GB of 4 GB of DDR3 800 SDRAM, (afhankelijk van de processor) ondersteunen.  </w:t>
      </w:r>
    </w:p>
    <w:p w:rsidR="007D3417" w:rsidRPr="00480093" w:rsidRDefault="007D3417" w:rsidP="007D3417">
      <w:pPr>
        <w:spacing w:beforeLines="50" w:afterLines="50"/>
        <w:contextualSpacing/>
        <w:rPr>
          <w:rFonts w:ascii="Tahoma" w:hAnsi="Tahoma" w:cs="Tahoma"/>
          <w:sz w:val="21"/>
          <w:szCs w:val="21"/>
        </w:rPr>
      </w:pPr>
    </w:p>
    <w:p w:rsidR="007D3417" w:rsidRPr="00480093" w:rsidRDefault="007D3417" w:rsidP="007D3417">
      <w:pPr>
        <w:spacing w:beforeLines="50" w:afterLines="50"/>
        <w:contextualSpacing/>
        <w:rPr>
          <w:rFonts w:ascii="Tahoma" w:hAnsi="Tahoma" w:cs="Tahoma"/>
          <w:b/>
          <w:sz w:val="21"/>
          <w:szCs w:val="21"/>
        </w:rPr>
      </w:pPr>
      <w:r>
        <w:rPr>
          <w:rFonts w:ascii="Tahoma" w:hAnsi="Tahoma"/>
          <w:b/>
          <w:sz w:val="21"/>
        </w:rPr>
        <w:t>Maximum connectiviteit met Minimum Hulpmiddelen</w:t>
      </w:r>
    </w:p>
    <w:p w:rsidR="007D3417" w:rsidRPr="00480093" w:rsidRDefault="007D3417" w:rsidP="007D3417">
      <w:pPr>
        <w:spacing w:beforeLines="50" w:afterLines="50"/>
        <w:contextualSpacing/>
        <w:rPr>
          <w:rFonts w:ascii="Tahoma" w:hAnsi="Tahoma" w:cs="Tahoma"/>
          <w:sz w:val="21"/>
          <w:szCs w:val="21"/>
        </w:rPr>
      </w:pPr>
      <w:r>
        <w:rPr>
          <w:rFonts w:ascii="Tahoma" w:hAnsi="Tahoma"/>
          <w:sz w:val="21"/>
        </w:rPr>
        <w:t xml:space="preserve">De </w:t>
      </w:r>
      <w:hyperlink r:id="rId13" w:history="1">
        <w:r>
          <w:rPr>
            <w:rStyle w:val="Hyperlink"/>
            <w:rFonts w:ascii="Tahoma" w:hAnsi="Tahoma"/>
            <w:sz w:val="21"/>
          </w:rPr>
          <w:t>AIMB-213</w:t>
        </w:r>
      </w:hyperlink>
      <w:r>
        <w:rPr>
          <w:rFonts w:ascii="Tahoma" w:hAnsi="Tahoma"/>
          <w:sz w:val="21"/>
        </w:rPr>
        <w:t xml:space="preserve"> wordt geleverd met </w:t>
      </w:r>
      <w:r w:rsidRPr="006D420A">
        <w:rPr>
          <w:rFonts w:ascii="Tahoma" w:hAnsi="Tahoma"/>
          <w:sz w:val="21"/>
        </w:rPr>
        <w:t xml:space="preserve">talloze </w:t>
      </w:r>
      <w:r w:rsidR="007770D0" w:rsidRPr="006D420A">
        <w:rPr>
          <w:rFonts w:ascii="Tahoma" w:hAnsi="Tahoma"/>
          <w:sz w:val="21"/>
        </w:rPr>
        <w:t xml:space="preserve">mogelijkheden </w:t>
      </w:r>
      <w:r w:rsidR="00312A94" w:rsidRPr="006D420A">
        <w:rPr>
          <w:rFonts w:ascii="Tahoma" w:hAnsi="Tahoma"/>
          <w:sz w:val="21"/>
        </w:rPr>
        <w:t>op</w:t>
      </w:r>
      <w:r w:rsidR="00312A94">
        <w:rPr>
          <w:rFonts w:ascii="Tahoma" w:hAnsi="Tahoma"/>
          <w:sz w:val="21"/>
        </w:rPr>
        <w:t xml:space="preserve"> het gebied van</w:t>
      </w:r>
      <w:r>
        <w:rPr>
          <w:rFonts w:ascii="Tahoma" w:hAnsi="Tahoma"/>
          <w:sz w:val="21"/>
        </w:rPr>
        <w:t xml:space="preserve"> connectiviteit en uitbreidingen. CompactFlash, PCI bus, zes COM poorten, acht USB poorten, 8-bit GPIO, </w:t>
      </w:r>
      <w:r>
        <w:rPr>
          <w:rFonts w:ascii="Tahoma" w:hAnsi="Tahoma"/>
          <w:sz w:val="21"/>
        </w:rPr>
        <w:lastRenderedPageBreak/>
        <w:t xml:space="preserve">optionele TPM beveiliging en </w:t>
      </w:r>
      <w:r w:rsidR="0005439C" w:rsidRPr="006D420A">
        <w:rPr>
          <w:rFonts w:ascii="Tahoma" w:hAnsi="Tahoma"/>
          <w:sz w:val="21"/>
        </w:rPr>
        <w:t>een</w:t>
      </w:r>
      <w:r w:rsidR="0005439C">
        <w:rPr>
          <w:rFonts w:ascii="Tahoma" w:hAnsi="Tahoma"/>
          <w:sz w:val="21"/>
        </w:rPr>
        <w:t xml:space="preserve"> </w:t>
      </w:r>
      <w:r>
        <w:rPr>
          <w:rFonts w:ascii="Tahoma" w:hAnsi="Tahoma"/>
          <w:sz w:val="21"/>
        </w:rPr>
        <w:t xml:space="preserve">Mini-PCIe </w:t>
      </w:r>
      <w:r w:rsidR="007770D0">
        <w:rPr>
          <w:rFonts w:ascii="Tahoma" w:hAnsi="Tahoma"/>
          <w:sz w:val="21"/>
        </w:rPr>
        <w:t>uitbreidings slot</w:t>
      </w:r>
      <w:r w:rsidR="0005439C">
        <w:rPr>
          <w:rFonts w:ascii="Tahoma" w:hAnsi="Tahoma"/>
          <w:sz w:val="21"/>
        </w:rPr>
        <w:t xml:space="preserve"> </w:t>
      </w:r>
      <w:r w:rsidR="0005439C" w:rsidRPr="006D420A">
        <w:rPr>
          <w:rFonts w:ascii="Tahoma" w:hAnsi="Tahoma"/>
          <w:sz w:val="21"/>
        </w:rPr>
        <w:t>zorgen</w:t>
      </w:r>
      <w:r w:rsidR="007770D0">
        <w:rPr>
          <w:rFonts w:ascii="Tahoma" w:hAnsi="Tahoma"/>
          <w:sz w:val="21"/>
        </w:rPr>
        <w:t xml:space="preserve"> </w:t>
      </w:r>
      <w:r>
        <w:rPr>
          <w:rFonts w:ascii="Tahoma" w:hAnsi="Tahoma"/>
          <w:sz w:val="21"/>
        </w:rPr>
        <w:t>voor een eenvoudige integratie</w:t>
      </w:r>
      <w:r w:rsidR="0005439C">
        <w:rPr>
          <w:rFonts w:ascii="Tahoma" w:hAnsi="Tahoma"/>
          <w:sz w:val="21"/>
        </w:rPr>
        <w:t>.</w:t>
      </w:r>
      <w:r>
        <w:rPr>
          <w:rFonts w:ascii="Tahoma" w:hAnsi="Tahoma"/>
          <w:sz w:val="21"/>
        </w:rPr>
        <w:t xml:space="preserve"> </w:t>
      </w:r>
      <w:r w:rsidR="0005439C" w:rsidRPr="006D420A">
        <w:rPr>
          <w:rFonts w:ascii="Tahoma" w:hAnsi="Tahoma"/>
          <w:sz w:val="21"/>
        </w:rPr>
        <w:t xml:space="preserve">Terwijl er </w:t>
      </w:r>
      <w:r w:rsidRPr="006D420A">
        <w:rPr>
          <w:rFonts w:ascii="Tahoma" w:hAnsi="Tahoma"/>
          <w:sz w:val="21"/>
        </w:rPr>
        <w:t xml:space="preserve">met een dubbele Intel </w:t>
      </w:r>
      <w:r w:rsidR="0005439C" w:rsidRPr="006D420A">
        <w:rPr>
          <w:rFonts w:ascii="Tahoma" w:hAnsi="Tahoma"/>
          <w:sz w:val="21"/>
        </w:rPr>
        <w:t xml:space="preserve">LAN </w:t>
      </w:r>
      <w:r w:rsidRPr="006D420A">
        <w:rPr>
          <w:rFonts w:ascii="Tahoma" w:hAnsi="Tahoma"/>
          <w:sz w:val="21"/>
        </w:rPr>
        <w:t>chipset</w:t>
      </w:r>
      <w:r>
        <w:rPr>
          <w:rFonts w:ascii="Tahoma" w:hAnsi="Tahoma"/>
          <w:sz w:val="21"/>
        </w:rPr>
        <w:t xml:space="preserve">, 10/100/1000 Mbps Ethernet poort </w:t>
      </w:r>
      <w:r w:rsidR="0005439C" w:rsidRPr="006D420A">
        <w:rPr>
          <w:rFonts w:ascii="Tahoma" w:hAnsi="Tahoma"/>
          <w:sz w:val="21"/>
        </w:rPr>
        <w:t>er hoge netwerksnelheden mogelijk zijn.</w:t>
      </w:r>
      <w:r>
        <w:rPr>
          <w:rFonts w:ascii="Tahoma" w:hAnsi="Tahoma"/>
          <w:sz w:val="21"/>
        </w:rPr>
        <w:t xml:space="preserve"> Al deze connectiviteit is verpakt in ruimtebesparende, vermogensefficiënte en kosteneffectieve Mini-ITX vormfactor.</w:t>
      </w:r>
    </w:p>
    <w:p w:rsidR="007D3417" w:rsidRPr="00480093" w:rsidRDefault="007D3417" w:rsidP="007D3417">
      <w:pPr>
        <w:spacing w:beforeLines="50" w:afterLines="50"/>
        <w:contextualSpacing/>
        <w:rPr>
          <w:rFonts w:ascii="Tahoma" w:hAnsi="Tahoma" w:cs="Tahoma"/>
          <w:sz w:val="21"/>
          <w:szCs w:val="21"/>
        </w:rPr>
      </w:pPr>
    </w:p>
    <w:p w:rsidR="007D3417" w:rsidRDefault="007D3417" w:rsidP="007D3417">
      <w:pPr>
        <w:spacing w:beforeLines="50" w:afterLines="50"/>
        <w:contextualSpacing/>
        <w:rPr>
          <w:rFonts w:ascii="Tahoma" w:hAnsi="Tahoma"/>
          <w:b/>
          <w:sz w:val="21"/>
        </w:rPr>
      </w:pPr>
      <w:r>
        <w:rPr>
          <w:rFonts w:ascii="Tahoma" w:hAnsi="Tahoma"/>
          <w:b/>
          <w:sz w:val="21"/>
        </w:rPr>
        <w:t>Dubbele Weergave Ondersteuning</w:t>
      </w:r>
    </w:p>
    <w:p w:rsidR="00C94D1B" w:rsidRDefault="00C94D1B" w:rsidP="007D3417">
      <w:pPr>
        <w:spacing w:beforeLines="50" w:afterLines="50"/>
        <w:contextualSpacing/>
        <w:rPr>
          <w:rFonts w:ascii="Tahoma" w:hAnsi="Tahoma"/>
          <w:b/>
          <w:sz w:val="21"/>
        </w:rPr>
      </w:pPr>
    </w:p>
    <w:p w:rsidR="007D3417" w:rsidRPr="00480093" w:rsidRDefault="007D3417" w:rsidP="007D3417">
      <w:pPr>
        <w:spacing w:beforeLines="50" w:afterLines="50"/>
        <w:contextualSpacing/>
        <w:rPr>
          <w:rFonts w:ascii="Tahoma" w:hAnsi="Tahoma" w:cs="Tahoma"/>
          <w:sz w:val="21"/>
          <w:szCs w:val="21"/>
        </w:rPr>
      </w:pPr>
      <w:hyperlink r:id="rId14" w:history="1">
        <w:r>
          <w:rPr>
            <w:rStyle w:val="Hyperlink"/>
            <w:rFonts w:ascii="Tahoma" w:hAnsi="Tahoma"/>
            <w:sz w:val="21"/>
          </w:rPr>
          <w:t>AIMB-213</w:t>
        </w:r>
      </w:hyperlink>
      <w:r>
        <w:rPr>
          <w:rFonts w:ascii="Tahoma" w:hAnsi="Tahoma"/>
          <w:sz w:val="21"/>
        </w:rPr>
        <w:t>, met geïntegreerde embedded Intel Gen3.5+ graphics core en 200/400-MHz render klokfrequenties voor de N455/D525, biedt enerverende geïntegreerde 3D grafische</w:t>
      </w:r>
      <w:r w:rsidR="00C94D1B">
        <w:rPr>
          <w:rFonts w:ascii="Tahoma" w:hAnsi="Tahoma"/>
          <w:sz w:val="21"/>
        </w:rPr>
        <w:t>-</w:t>
      </w:r>
      <w:r>
        <w:rPr>
          <w:rFonts w:ascii="Tahoma" w:hAnsi="Tahoma"/>
          <w:sz w:val="21"/>
        </w:rPr>
        <w:t xml:space="preserve"> </w:t>
      </w:r>
      <w:r w:rsidR="00C94D1B" w:rsidRPr="00874C27">
        <w:rPr>
          <w:rFonts w:ascii="Tahoma" w:hAnsi="Tahoma"/>
          <w:sz w:val="21"/>
        </w:rPr>
        <w:t>videomogelijkheden met maximaal 224MB gedeeld grafisch geheugen</w:t>
      </w:r>
      <w:r w:rsidR="00874C27">
        <w:rPr>
          <w:rFonts w:ascii="Tahoma" w:hAnsi="Tahoma"/>
          <w:sz w:val="21"/>
        </w:rPr>
        <w:t>.</w:t>
      </w:r>
      <w:r w:rsidR="00C94D1B">
        <w:rPr>
          <w:rFonts w:ascii="Tahoma" w:hAnsi="Tahoma"/>
          <w:sz w:val="21"/>
        </w:rPr>
        <w:t xml:space="preserve"> </w:t>
      </w:r>
      <w:hyperlink r:id="rId15" w:history="1">
        <w:r>
          <w:rPr>
            <w:rStyle w:val="Hyperlink"/>
            <w:rFonts w:ascii="Tahoma" w:hAnsi="Tahoma"/>
            <w:sz w:val="21"/>
          </w:rPr>
          <w:t>AIMB-213</w:t>
        </w:r>
      </w:hyperlink>
      <w:r>
        <w:rPr>
          <w:rFonts w:ascii="Tahoma" w:hAnsi="Tahoma"/>
          <w:sz w:val="21"/>
        </w:rPr>
        <w:t xml:space="preserve"> ondersteunt de dubbele weergave met meerdere displays, zoals VGA + LVDS of VGA + DVI. De video-uitgang is voorzien van HD audio voor een complete audio/video oplossing. </w:t>
      </w:r>
    </w:p>
    <w:p w:rsidR="007D3417" w:rsidRPr="00480093" w:rsidRDefault="007D3417" w:rsidP="007D3417">
      <w:pPr>
        <w:spacing w:beforeLines="50" w:afterLines="50"/>
        <w:contextualSpacing/>
        <w:rPr>
          <w:rFonts w:ascii="Tahoma" w:hAnsi="Tahoma" w:cs="Tahoma"/>
          <w:sz w:val="21"/>
          <w:szCs w:val="21"/>
        </w:rPr>
      </w:pPr>
    </w:p>
    <w:p w:rsidR="007D3417" w:rsidRPr="00480093" w:rsidRDefault="007D3417" w:rsidP="007D3417">
      <w:pPr>
        <w:spacing w:beforeLines="50" w:afterLines="50"/>
        <w:contextualSpacing/>
        <w:rPr>
          <w:rFonts w:ascii="Tahoma" w:hAnsi="Tahoma" w:cs="Tahoma"/>
          <w:b/>
          <w:sz w:val="21"/>
          <w:szCs w:val="21"/>
        </w:rPr>
      </w:pPr>
      <w:r>
        <w:rPr>
          <w:rFonts w:ascii="Tahoma" w:hAnsi="Tahoma"/>
          <w:b/>
          <w:sz w:val="21"/>
        </w:rPr>
        <w:t>Uitgebalanceerde Fundament</w:t>
      </w:r>
    </w:p>
    <w:p w:rsidR="007D3417" w:rsidRPr="00480093" w:rsidRDefault="007D3417" w:rsidP="007D3417">
      <w:pPr>
        <w:spacing w:beforeLines="50" w:afterLines="50"/>
        <w:contextualSpacing/>
        <w:rPr>
          <w:rFonts w:ascii="Tahoma" w:hAnsi="Tahoma" w:cs="Tahoma"/>
          <w:sz w:val="21"/>
          <w:szCs w:val="21"/>
        </w:rPr>
      </w:pPr>
      <w:r>
        <w:rPr>
          <w:rFonts w:ascii="Tahoma" w:hAnsi="Tahoma"/>
          <w:sz w:val="21"/>
        </w:rPr>
        <w:t>Deze mix van een hoofdstroom vormfactor met de populaire Intel Atom processor produceert een gebalanceerde combinatie van kosten, connectiviteit, afmetingen en warmte performance en zorgt ervoor dat het</w:t>
      </w:r>
      <w:r>
        <w:t xml:space="preserve"> </w:t>
      </w:r>
      <w:hyperlink r:id="rId16" w:history="1">
        <w:r>
          <w:rPr>
            <w:rStyle w:val="Hyperlink"/>
            <w:rFonts w:ascii="Tahoma" w:hAnsi="Tahoma"/>
            <w:sz w:val="21"/>
          </w:rPr>
          <w:t>AIMB-213</w:t>
        </w:r>
      </w:hyperlink>
      <w:r>
        <w:rPr>
          <w:rFonts w:ascii="Tahoma" w:hAnsi="Tahoma"/>
          <w:sz w:val="21"/>
        </w:rPr>
        <w:t xml:space="preserve"> moederbord het ideale fundament is voor spellen, educatieve en kiosk applicaties. </w:t>
      </w:r>
    </w:p>
    <w:p w:rsidR="007D3417" w:rsidRPr="00480093" w:rsidRDefault="007D3417" w:rsidP="007D3417">
      <w:pPr>
        <w:spacing w:beforeLines="50" w:afterLines="50"/>
        <w:contextualSpacing/>
        <w:rPr>
          <w:rFonts w:ascii="Tahoma" w:hAnsi="Tahoma" w:cs="Tahoma"/>
          <w:sz w:val="21"/>
          <w:szCs w:val="21"/>
        </w:rPr>
      </w:pPr>
    </w:p>
    <w:p w:rsidR="007D3417" w:rsidRPr="00480093" w:rsidRDefault="007D3417" w:rsidP="007D3417">
      <w:pPr>
        <w:spacing w:beforeLines="50" w:afterLines="50"/>
        <w:contextualSpacing/>
        <w:rPr>
          <w:rFonts w:ascii="Tahoma" w:hAnsi="Tahoma" w:cs="Tahoma"/>
          <w:b/>
          <w:sz w:val="21"/>
          <w:szCs w:val="21"/>
        </w:rPr>
      </w:pPr>
      <w:r>
        <w:rPr>
          <w:rFonts w:ascii="Tahoma" w:hAnsi="Tahoma"/>
          <w:b/>
          <w:sz w:val="21"/>
        </w:rPr>
        <w:t>Geïntegreerde Intelligente Software API</w:t>
      </w:r>
    </w:p>
    <w:p w:rsidR="007D3417" w:rsidRPr="005267A1" w:rsidRDefault="007D3417" w:rsidP="007D3417">
      <w:pPr>
        <w:spacing w:beforeLines="50" w:afterLines="50"/>
        <w:contextualSpacing/>
        <w:rPr>
          <w:rFonts w:ascii="Tahoma" w:hAnsi="Tahoma" w:cs="Tahoma"/>
          <w:sz w:val="21"/>
          <w:szCs w:val="21"/>
        </w:rPr>
      </w:pPr>
      <w:r>
        <w:rPr>
          <w:rFonts w:ascii="Tahoma" w:hAnsi="Tahoma"/>
          <w:sz w:val="21"/>
        </w:rPr>
        <w:t>Advantech levert drivers en API's met GPIO; SMBus, watchdog timers, hardware monitors, paneel achtergrondverlichting aan/uit en helderheid controle. De ondersteunde besturingssystemen zijn Windows</w:t>
      </w:r>
      <w:r>
        <w:rPr>
          <w:rFonts w:ascii="Tahoma" w:hAnsi="Tahoma"/>
          <w:sz w:val="21"/>
          <w:vertAlign w:val="superscript"/>
        </w:rPr>
        <w:t>®</w:t>
      </w:r>
      <w:r>
        <w:rPr>
          <w:rFonts w:ascii="Tahoma" w:hAnsi="Tahoma"/>
          <w:sz w:val="21"/>
        </w:rPr>
        <w:t xml:space="preserve"> 7, Windows XP, XP Embedded, Windows CE en Linux—hardware drivers voor deze besturingssystemen zijn altijd verkrijgbaar. </w:t>
      </w:r>
      <w:hyperlink r:id="rId17" w:history="1">
        <w:r>
          <w:rPr>
            <w:rStyle w:val="Hyperlink"/>
            <w:rFonts w:ascii="Tahoma" w:hAnsi="Tahoma"/>
            <w:sz w:val="21"/>
          </w:rPr>
          <w:t>AIMB-213</w:t>
        </w:r>
      </w:hyperlink>
      <w:r w:rsidR="00A606CB">
        <w:rPr>
          <w:rFonts w:ascii="Tahoma" w:hAnsi="Tahoma"/>
          <w:sz w:val="21"/>
        </w:rPr>
        <w:t xml:space="preserve"> kan nu besteld worden. </w:t>
      </w:r>
    </w:p>
    <w:p w:rsidR="007D3417" w:rsidRPr="005267A1" w:rsidRDefault="007D3417" w:rsidP="007D3417">
      <w:pPr>
        <w:spacing w:beforeLines="50" w:afterLines="50"/>
        <w:contextualSpacing/>
        <w:rPr>
          <w:rFonts w:ascii="Tahoma" w:hAnsi="Tahoma" w:cs="Tahoma"/>
          <w:sz w:val="21"/>
          <w:szCs w:val="21"/>
        </w:rPr>
      </w:pPr>
    </w:p>
    <w:p w:rsidR="007D3417" w:rsidRPr="007770D0" w:rsidRDefault="007D3417" w:rsidP="007D3417">
      <w:pPr>
        <w:snapToGrid w:val="0"/>
        <w:rPr>
          <w:rFonts w:ascii="Arial" w:hAnsi="Arial" w:cs="Arial"/>
          <w:sz w:val="18"/>
          <w:szCs w:val="18"/>
          <w:lang w:val="en-US"/>
        </w:rPr>
      </w:pPr>
      <w:r w:rsidRPr="007770D0">
        <w:rPr>
          <w:rStyle w:val="PR-AboutAdvChar"/>
          <w:rFonts w:ascii="Tahoma" w:hAnsi="Tahoma"/>
          <w:b/>
          <w:sz w:val="18"/>
          <w:lang w:val="en-US"/>
        </w:rPr>
        <w:t>Over Embedded Core Service</w:t>
      </w:r>
      <w:r w:rsidRPr="007770D0">
        <w:rPr>
          <w:rStyle w:val="PR-AboutAdvChar"/>
          <w:b/>
          <w:sz w:val="18"/>
          <w:lang w:val="en-US"/>
        </w:rPr>
        <w:t xml:space="preserve"> </w:t>
      </w:r>
    </w:p>
    <w:p w:rsidR="007D3417" w:rsidRPr="00562BC4" w:rsidRDefault="007D3417" w:rsidP="007D3417">
      <w:pPr>
        <w:snapToGrid w:val="0"/>
        <w:rPr>
          <w:rFonts w:ascii="Arial" w:hAnsi="Arial" w:cs="Arial"/>
          <w:sz w:val="18"/>
          <w:szCs w:val="18"/>
        </w:rPr>
      </w:pPr>
      <w:r w:rsidRPr="007770D0">
        <w:rPr>
          <w:rFonts w:ascii="Tahoma" w:hAnsi="Tahoma"/>
          <w:sz w:val="18"/>
          <w:lang w:val="en-US"/>
        </w:rPr>
        <w:t xml:space="preserve">Advantech Embedded Core Services </w:t>
      </w:r>
      <w:proofErr w:type="spellStart"/>
      <w:r w:rsidRPr="007770D0">
        <w:rPr>
          <w:rFonts w:ascii="Tahoma" w:hAnsi="Tahoma"/>
          <w:sz w:val="18"/>
          <w:lang w:val="en-US"/>
        </w:rPr>
        <w:t>bieden</w:t>
      </w:r>
      <w:proofErr w:type="spellEnd"/>
      <w:r w:rsidRPr="007770D0">
        <w:rPr>
          <w:rFonts w:ascii="Tahoma" w:hAnsi="Tahoma"/>
          <w:sz w:val="18"/>
          <w:lang w:val="en-US"/>
        </w:rPr>
        <w:t xml:space="preserve"> design-in </w:t>
      </w:r>
      <w:proofErr w:type="spellStart"/>
      <w:r w:rsidRPr="007770D0">
        <w:rPr>
          <w:rFonts w:ascii="Tahoma" w:hAnsi="Tahoma"/>
          <w:sz w:val="18"/>
          <w:lang w:val="en-US"/>
        </w:rPr>
        <w:t>gerichte</w:t>
      </w:r>
      <w:proofErr w:type="spellEnd"/>
      <w:r w:rsidRPr="007770D0">
        <w:rPr>
          <w:rFonts w:ascii="Tahoma" w:hAnsi="Tahoma"/>
          <w:sz w:val="18"/>
          <w:lang w:val="en-US"/>
        </w:rPr>
        <w:t xml:space="preserve"> services. </w:t>
      </w:r>
      <w:r>
        <w:rPr>
          <w:rFonts w:ascii="Tahoma" w:hAnsi="Tahoma"/>
          <w:sz w:val="18"/>
        </w:rPr>
        <w:t xml:space="preserve">Deze gestroomlijnde oplossingen integreren embedded borden, periferische modules en software. De speciale aandacht voor Embedded Design-in services voldoet aan de vereisten van elektronische engineering tijdens de design-in fase en biedt voordelen die het ontwerp en de integratiecyclus inkorten, waardoor onzekerheid en risico's beperkt worden. </w:t>
      </w:r>
      <w:hyperlink r:id="rId18" w:history="1">
        <w:r w:rsidR="00FA1C0C" w:rsidRPr="00723799">
          <w:rPr>
            <w:rStyle w:val="Hyperlink"/>
            <w:rFonts w:ascii="Arial" w:hAnsi="Arial"/>
            <w:sz w:val="18"/>
          </w:rPr>
          <w:t>www.advantech.eu/EmbCore</w:t>
        </w:r>
      </w:hyperlink>
      <w:r>
        <w:rPr>
          <w:rFonts w:ascii="Arial" w:hAnsi="Arial"/>
          <w:sz w:val="18"/>
        </w:rPr>
        <w:t xml:space="preserve"> </w:t>
      </w:r>
    </w:p>
    <w:p w:rsidR="007D3417" w:rsidRPr="00562BC4" w:rsidRDefault="007D3417" w:rsidP="007D3417">
      <w:pPr>
        <w:rPr>
          <w:rFonts w:ascii="Tahoma" w:hAnsi="Tahoma" w:cs="Tahoma"/>
          <w:sz w:val="21"/>
          <w:szCs w:val="21"/>
        </w:rPr>
      </w:pPr>
    </w:p>
    <w:p w:rsidR="007D3417" w:rsidRPr="00562BC4" w:rsidRDefault="007D3417" w:rsidP="007D3417">
      <w:pPr>
        <w:rPr>
          <w:rFonts w:ascii="Tahoma" w:hAnsi="Tahoma" w:cs="Tahoma"/>
          <w:b/>
          <w:sz w:val="18"/>
          <w:szCs w:val="18"/>
        </w:rPr>
      </w:pPr>
      <w:r>
        <w:rPr>
          <w:rFonts w:ascii="Tahoma" w:hAnsi="Tahoma"/>
          <w:b/>
          <w:sz w:val="18"/>
        </w:rPr>
        <w:t>Over Advantech</w:t>
      </w:r>
    </w:p>
    <w:p w:rsidR="007D3417" w:rsidRDefault="007D3417" w:rsidP="007D3417">
      <w:pPr>
        <w:snapToGrid w:val="0"/>
        <w:rPr>
          <w:rFonts w:ascii="Tahoma" w:hAnsi="Tahoma" w:cs="Tahoma"/>
          <w:bCs/>
          <w:sz w:val="18"/>
          <w:szCs w:val="18"/>
        </w:rPr>
      </w:pPr>
      <w:r>
        <w:rPr>
          <w:rFonts w:ascii="Tahoma" w:hAnsi="Tahoma"/>
          <w:sz w:val="18"/>
        </w:rPr>
        <w:t xml:space="preserve">Advantech werd opgericht in 1983 en is een leider op het gebied van betrouwbare en innovatieve producten, services en oplossingen. Advantech levert alomvattende systeemintegratie, hardware, software, gebruikercentrisch design services, geïntegreerde systemen, automatische productien en globale logistieke ondersteuning. We werken nauw samen met onze partners, teneinde complete oplossingen voor een uitgebreide verzameling applicaties in de verschillende soorten industrie te kunnen bieden. Onze missie is een intelligente planeet mogelijk te maken met Automatisering en Geïntegreerde computersystemen en oplossingen die de ontwikkeling van een betere werk- en leefomgeving bevorderen. Met Advantech zijn de applicaties en innovaties, die onze producten mogelijk maken, onbeperkt. (Corporate Website: </w:t>
      </w:r>
      <w:hyperlink r:id="rId19" w:history="1">
        <w:r w:rsidR="00FA1C0C" w:rsidRPr="00723799">
          <w:rPr>
            <w:rStyle w:val="Hyperlink"/>
            <w:rFonts w:ascii="Tahoma" w:hAnsi="Tahoma"/>
            <w:sz w:val="18"/>
          </w:rPr>
          <w:t>www.advantech.eu</w:t>
        </w:r>
      </w:hyperlink>
      <w:r>
        <w:rPr>
          <w:rFonts w:ascii="Tahoma" w:hAnsi="Tahoma"/>
          <w:sz w:val="18"/>
        </w:rPr>
        <w:t>).</w:t>
      </w:r>
    </w:p>
    <w:p w:rsidR="007D3417" w:rsidRPr="00932CC9" w:rsidRDefault="007D3417" w:rsidP="007D3417">
      <w:pPr>
        <w:snapToGrid w:val="0"/>
        <w:rPr>
          <w:rFonts w:ascii="Tahoma" w:hAnsi="Tahoma" w:cs="Tahoma"/>
          <w:bCs/>
          <w:sz w:val="18"/>
          <w:szCs w:val="18"/>
        </w:rPr>
      </w:pPr>
    </w:p>
    <w:sectPr w:rsidR="007D3417" w:rsidRPr="00932CC9" w:rsidSect="007D3417">
      <w:headerReference w:type="default" r:id="rId20"/>
      <w:pgSz w:w="11906" w:h="16838"/>
      <w:pgMar w:top="170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21" w:rsidRDefault="00D63C21"/>
  </w:endnote>
  <w:endnote w:type="continuationSeparator" w:id="0">
    <w:p w:rsidR="00D63C21" w:rsidRDefault="00D63C2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21" w:rsidRDefault="00D63C21"/>
  </w:footnote>
  <w:footnote w:type="continuationSeparator" w:id="0">
    <w:p w:rsidR="00D63C21" w:rsidRDefault="00D63C2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417" w:rsidRDefault="00701007">
    <w:pPr>
      <w:pStyle w:val="Header"/>
    </w:pPr>
    <w:r>
      <w:pict>
        <v:shapetype id="_x0000_t202" coordsize="21600,21600" o:spt="202" path="m,l,21600r21600,l21600,xe">
          <v:stroke joinstyle="miter"/>
          <v:path gradientshapeok="t" o:connecttype="rect"/>
        </v:shapetype>
        <v:shape id="_x0000_s2051" type="#_x0000_t202" style="position:absolute;margin-left:279pt;margin-top:24.5pt;width:167.25pt;height:19.05pt;z-index:251657728;mso-width-relative:margin;mso-height-relative:margin" filled="f" stroked="f">
          <v:textbox style="mso-next-textbox:#_x0000_s2051">
            <w:txbxContent>
              <w:p w:rsidR="007D3417" w:rsidRPr="001C6F2A" w:rsidRDefault="007D3417" w:rsidP="007D3417">
                <w:pPr>
                  <w:rPr>
                    <w:rFonts w:ascii="Bell MT" w:hAnsi="Bell MT"/>
                    <w:b/>
                    <w:color w:val="002060"/>
                    <w:sz w:val="23"/>
                    <w:szCs w:val="23"/>
                  </w:rPr>
                </w:pPr>
                <w:r>
                  <w:rPr>
                    <w:rFonts w:ascii="Bell MT" w:hAnsi="Bell MT"/>
                    <w:b/>
                    <w:color w:val="002060"/>
                    <w:sz w:val="23"/>
                  </w:rPr>
                  <w:t>Voor Onmiddellijke Release</w:t>
                </w:r>
              </w:p>
            </w:txbxContent>
          </v:textbox>
        </v:shape>
      </w:pict>
    </w:r>
    <w:r w:rsidR="00A606CB">
      <w:rPr>
        <w:noProof/>
        <w:lang w:val="en-US" w:eastAsia="zh-TW"/>
      </w:rPr>
      <w:drawing>
        <wp:inline distT="0" distB="0" distL="0" distR="0">
          <wp:extent cx="1447800" cy="419100"/>
          <wp:effectExtent l="19050" t="0" r="0" b="0"/>
          <wp:docPr id="1" name="圖片 1" descr="2010-Logo-with-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010-Logo-with-Slogan"/>
                  <pic:cNvPicPr>
                    <a:picLocks noChangeAspect="1" noChangeArrowheads="1"/>
                  </pic:cNvPicPr>
                </pic:nvPicPr>
                <pic:blipFill>
                  <a:blip r:embed="rId1"/>
                  <a:srcRect/>
                  <a:stretch>
                    <a:fillRect/>
                  </a:stretch>
                </pic:blipFill>
                <pic:spPr bwMode="auto">
                  <a:xfrm>
                    <a:off x="0" y="0"/>
                    <a:ext cx="1447800" cy="419100"/>
                  </a:xfrm>
                  <a:prstGeom prst="rect">
                    <a:avLst/>
                  </a:prstGeom>
                  <a:noFill/>
                  <a:ln w="9525">
                    <a:noFill/>
                    <a:miter lim="800000"/>
                    <a:headEnd/>
                    <a:tailEnd/>
                  </a:ln>
                </pic:spPr>
              </pic:pic>
            </a:graphicData>
          </a:graphic>
        </wp:inline>
      </w:drawing>
    </w:r>
    <w:r w:rsidR="007D3417">
      <w:pict>
        <v:shape id="_x0000_s2050" type="#_x0000_t202" style="position:absolute;margin-left:305.55pt;margin-top:-.75pt;width:136.95pt;height:42.5pt;z-index:251656704;mso-position-horizontal-relative:text;mso-position-vertical-relative:text;mso-width-relative:margin;mso-height-relative:margin" filled="f" stroked="f">
          <v:textbox style="mso-next-textbox:#_x0000_s2050">
            <w:txbxContent>
              <w:p w:rsidR="007D3417" w:rsidRPr="001C6F2A" w:rsidRDefault="007D3417" w:rsidP="007D3417">
                <w:pPr>
                  <w:rPr>
                    <w:rFonts w:ascii="Eras Demi ITC" w:hAnsi="Eras Demi ITC"/>
                    <w:b/>
                    <w:i/>
                    <w:color w:val="002060"/>
                    <w:sz w:val="36"/>
                    <w:szCs w:val="36"/>
                  </w:rPr>
                </w:pPr>
                <w:r>
                  <w:rPr>
                    <w:rFonts w:ascii="Eras Demi ITC" w:hAnsi="Eras Demi ITC"/>
                    <w:b/>
                    <w:i/>
                    <w:color w:val="002060"/>
                    <w:sz w:val="36"/>
                  </w:rPr>
                  <w:t>Persbericht</w:t>
                </w:r>
              </w:p>
            </w:txbxContent>
          </v:textbox>
        </v:shape>
      </w:pict>
    </w:r>
    <w:r w:rsidR="00A606CB">
      <w:rPr>
        <w:noProof/>
        <w:lang w:val="en-US" w:eastAsia="zh-TW"/>
      </w:rPr>
      <w:drawing>
        <wp:anchor distT="0" distB="0" distL="114300" distR="114300" simplePos="0" relativeHeight="251658752" behindDoc="1" locked="0" layoutInCell="1" allowOverlap="1">
          <wp:simplePos x="0" y="0"/>
          <wp:positionH relativeFrom="column">
            <wp:posOffset>4790440</wp:posOffset>
          </wp:positionH>
          <wp:positionV relativeFrom="paragraph">
            <wp:posOffset>-568960</wp:posOffset>
          </wp:positionV>
          <wp:extent cx="1426845" cy="1933575"/>
          <wp:effectExtent l="19050" t="0" r="1905" b="0"/>
          <wp:wrapNone/>
          <wp:docPr id="5"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2"/>
                  <a:srcRect/>
                  <a:stretch>
                    <a:fillRect/>
                  </a:stretch>
                </pic:blipFill>
                <pic:spPr bwMode="auto">
                  <a:xfrm>
                    <a:off x="0" y="0"/>
                    <a:ext cx="1426845" cy="19335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12AF6"/>
    <w:multiLevelType w:val="hybridMultilevel"/>
    <w:tmpl w:val="B9C65A8E"/>
    <w:lvl w:ilvl="0">
      <w:start w:val="1"/>
      <w:numFmt w:val="bullet"/>
      <w:lvlText w:val=""/>
      <w:lvlJc w:val="left"/>
      <w:pPr>
        <w:ind w:left="480" w:hanging="480"/>
      </w:pPr>
      <w:rPr>
        <w:rFonts w:ascii="Wingdings" w:hAnsi="Wingdings" w:hint="default"/>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5A22"/>
    <w:rsid w:val="0005439C"/>
    <w:rsid w:val="00312A94"/>
    <w:rsid w:val="006D420A"/>
    <w:rsid w:val="00701007"/>
    <w:rsid w:val="007770D0"/>
    <w:rsid w:val="007D3417"/>
    <w:rsid w:val="00816AE8"/>
    <w:rsid w:val="00874C27"/>
    <w:rsid w:val="00A606CB"/>
    <w:rsid w:val="00C94D1B"/>
    <w:rsid w:val="00D63C21"/>
    <w:rsid w:val="00D87E94"/>
    <w:rsid w:val="00DA7F9E"/>
    <w:rsid w:val="00FA1C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6938"/>
    <w:pPr>
      <w:widowControl w:val="0"/>
    </w:pPr>
    <w:rPr>
      <w:kern w:val="2"/>
      <w:sz w:val="24"/>
      <w:szCs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BBA"/>
    <w:pPr>
      <w:tabs>
        <w:tab w:val="center" w:pos="4153"/>
        <w:tab w:val="right" w:pos="8306"/>
      </w:tabs>
      <w:snapToGrid w:val="0"/>
    </w:pPr>
    <w:rPr>
      <w:kern w:val="0"/>
      <w:sz w:val="20"/>
      <w:szCs w:val="20"/>
      <w:lang/>
    </w:rPr>
  </w:style>
  <w:style w:type="character" w:customStyle="1" w:styleId="HeaderChar">
    <w:name w:val="Header Char"/>
    <w:link w:val="Header"/>
    <w:uiPriority w:val="99"/>
    <w:rsid w:val="00485BBA"/>
    <w:rPr>
      <w:sz w:val="20"/>
      <w:szCs w:val="20"/>
      <w:lang w:val="nl-NL"/>
    </w:rPr>
  </w:style>
  <w:style w:type="paragraph" w:styleId="Footer">
    <w:name w:val="footer"/>
    <w:basedOn w:val="Normal"/>
    <w:link w:val="FooterChar"/>
    <w:uiPriority w:val="99"/>
    <w:unhideWhenUsed/>
    <w:rsid w:val="00485BBA"/>
    <w:pPr>
      <w:tabs>
        <w:tab w:val="center" w:pos="4153"/>
        <w:tab w:val="right" w:pos="8306"/>
      </w:tabs>
      <w:snapToGrid w:val="0"/>
    </w:pPr>
    <w:rPr>
      <w:kern w:val="0"/>
      <w:sz w:val="20"/>
      <w:szCs w:val="20"/>
      <w:lang/>
    </w:rPr>
  </w:style>
  <w:style w:type="character" w:customStyle="1" w:styleId="FooterChar">
    <w:name w:val="Footer Char"/>
    <w:link w:val="Footer"/>
    <w:uiPriority w:val="99"/>
    <w:rsid w:val="00485BBA"/>
    <w:rPr>
      <w:sz w:val="20"/>
      <w:szCs w:val="20"/>
      <w:lang w:val="nl-NL"/>
    </w:rPr>
  </w:style>
  <w:style w:type="paragraph" w:styleId="NormalWeb">
    <w:name w:val="Normal (Web)"/>
    <w:basedOn w:val="Normal"/>
    <w:uiPriority w:val="99"/>
    <w:semiHidden/>
    <w:unhideWhenUsed/>
    <w:rsid w:val="00485BBA"/>
    <w:pPr>
      <w:widowControl/>
      <w:spacing w:before="100" w:beforeAutospacing="1" w:after="100" w:afterAutospacing="1"/>
    </w:pPr>
    <w:rPr>
      <w:rFonts w:ascii="PMingLiU" w:hAnsi="PMingLiU" w:cs="PMingLiU"/>
      <w:szCs w:val="24"/>
    </w:rPr>
  </w:style>
  <w:style w:type="paragraph" w:styleId="BalloonText">
    <w:name w:val="Balloon Text"/>
    <w:basedOn w:val="Normal"/>
    <w:link w:val="BalloonTextChar"/>
    <w:uiPriority w:val="99"/>
    <w:semiHidden/>
    <w:unhideWhenUsed/>
    <w:rsid w:val="00A65C20"/>
    <w:rPr>
      <w:rFonts w:ascii="Cambria" w:hAnsi="Cambria"/>
      <w:sz w:val="18"/>
      <w:szCs w:val="18"/>
      <w:lang/>
    </w:rPr>
  </w:style>
  <w:style w:type="character" w:customStyle="1" w:styleId="BalloonTextChar">
    <w:name w:val="Balloon Text Char"/>
    <w:link w:val="BalloonText"/>
    <w:uiPriority w:val="99"/>
    <w:semiHidden/>
    <w:rsid w:val="00A65C20"/>
    <w:rPr>
      <w:rFonts w:ascii="Cambria" w:eastAsia="PMingLiU" w:hAnsi="Cambria" w:cs="Times New Roman"/>
      <w:kern w:val="2"/>
      <w:sz w:val="18"/>
      <w:szCs w:val="18"/>
      <w:lang w:val="nl-NL"/>
    </w:rPr>
  </w:style>
  <w:style w:type="character" w:styleId="Hyperlink">
    <w:name w:val="Hyperlink"/>
    <w:rsid w:val="00FC30F2"/>
    <w:rPr>
      <w:color w:val="0000FF"/>
      <w:u w:val="single"/>
      <w:lang w:val="nl-NL"/>
    </w:rPr>
  </w:style>
  <w:style w:type="paragraph" w:customStyle="1" w:styleId="PR-Body">
    <w:name w:val="PR-Body"/>
    <w:basedOn w:val="Normal"/>
    <w:link w:val="PR-BodyChar"/>
    <w:rsid w:val="00FC30F2"/>
    <w:pPr>
      <w:widowControl/>
      <w:snapToGrid w:val="0"/>
    </w:pPr>
    <w:rPr>
      <w:rFonts w:ascii="Arial" w:hAnsi="Arial"/>
      <w:color w:val="000000"/>
      <w:kern w:val="0"/>
      <w:sz w:val="21"/>
      <w:szCs w:val="21"/>
      <w:lang/>
    </w:rPr>
  </w:style>
  <w:style w:type="character" w:customStyle="1" w:styleId="PR-BodyChar">
    <w:name w:val="PR-Body Char"/>
    <w:link w:val="PR-Body"/>
    <w:rsid w:val="00FC30F2"/>
    <w:rPr>
      <w:rFonts w:ascii="Arial" w:hAnsi="Arial" w:cs="Arial"/>
      <w:color w:val="000000"/>
      <w:sz w:val="21"/>
      <w:szCs w:val="21"/>
      <w:lang w:val="nl-NL"/>
    </w:rPr>
  </w:style>
  <w:style w:type="character" w:customStyle="1" w:styleId="longtext">
    <w:name w:val="long_text"/>
    <w:basedOn w:val="DefaultParagraphFont"/>
    <w:rsid w:val="00B54AE7"/>
  </w:style>
  <w:style w:type="paragraph" w:styleId="BodyText">
    <w:name w:val="Body Text"/>
    <w:basedOn w:val="Normal"/>
    <w:link w:val="BodyTextChar"/>
    <w:rsid w:val="00484884"/>
    <w:pPr>
      <w:widowControl/>
      <w:spacing w:after="120"/>
    </w:pPr>
    <w:rPr>
      <w:rFonts w:ascii="Arial" w:hAnsi="Arial"/>
      <w:spacing w:val="-5"/>
      <w:kern w:val="0"/>
      <w:sz w:val="20"/>
      <w:szCs w:val="20"/>
      <w:lang w:eastAsia="en-US"/>
    </w:rPr>
  </w:style>
  <w:style w:type="character" w:customStyle="1" w:styleId="BodyTextChar">
    <w:name w:val="Body Text Char"/>
    <w:link w:val="BodyText"/>
    <w:rsid w:val="00484884"/>
    <w:rPr>
      <w:rFonts w:ascii="Arial" w:hAnsi="Arial" w:cs="Arial"/>
      <w:spacing w:val="-5"/>
      <w:lang w:val="nl-NL" w:eastAsia="en-US"/>
    </w:rPr>
  </w:style>
  <w:style w:type="paragraph" w:customStyle="1" w:styleId="ColorfulList-Accent11">
    <w:name w:val="Colorful List - Accent 11"/>
    <w:basedOn w:val="Normal"/>
    <w:uiPriority w:val="99"/>
    <w:qFormat/>
    <w:rsid w:val="006757C3"/>
    <w:pPr>
      <w:ind w:leftChars="200" w:left="480"/>
    </w:pPr>
  </w:style>
  <w:style w:type="paragraph" w:customStyle="1" w:styleId="PR-AboutAdv">
    <w:name w:val="PR-AboutAdv"/>
    <w:basedOn w:val="Normal"/>
    <w:link w:val="PR-AboutAdvChar"/>
    <w:rsid w:val="005A78B4"/>
    <w:pPr>
      <w:snapToGrid w:val="0"/>
    </w:pPr>
    <w:rPr>
      <w:rFonts w:ascii="Arial" w:hAnsi="Arial"/>
      <w:sz w:val="16"/>
      <w:szCs w:val="16"/>
      <w:lang/>
    </w:rPr>
  </w:style>
  <w:style w:type="character" w:customStyle="1" w:styleId="PR-AboutAdvChar">
    <w:name w:val="PR-AboutAdv Char"/>
    <w:link w:val="PR-AboutAdv"/>
    <w:rsid w:val="005A78B4"/>
    <w:rPr>
      <w:rFonts w:ascii="Arial" w:hAnsi="Arial" w:cs="Arial"/>
      <w:kern w:val="2"/>
      <w:sz w:val="16"/>
      <w:szCs w:val="16"/>
      <w:lang w:val="nl-NL"/>
    </w:rPr>
  </w:style>
  <w:style w:type="character" w:styleId="CommentReference">
    <w:name w:val="annotation reference"/>
    <w:uiPriority w:val="99"/>
    <w:semiHidden/>
    <w:unhideWhenUsed/>
    <w:rsid w:val="00CA58BD"/>
    <w:rPr>
      <w:sz w:val="18"/>
      <w:szCs w:val="18"/>
      <w:lang w:val="nl-NL"/>
    </w:rPr>
  </w:style>
  <w:style w:type="paragraph" w:styleId="CommentText">
    <w:name w:val="annotation text"/>
    <w:basedOn w:val="Normal"/>
    <w:link w:val="CommentTextChar"/>
    <w:uiPriority w:val="99"/>
    <w:semiHidden/>
    <w:unhideWhenUsed/>
    <w:rsid w:val="00CA58BD"/>
    <w:rPr>
      <w:szCs w:val="24"/>
    </w:rPr>
  </w:style>
  <w:style w:type="character" w:customStyle="1" w:styleId="CommentTextChar">
    <w:name w:val="Comment Text Char"/>
    <w:link w:val="CommentText"/>
    <w:uiPriority w:val="99"/>
    <w:semiHidden/>
    <w:rsid w:val="00CA58BD"/>
    <w:rPr>
      <w:kern w:val="2"/>
      <w:sz w:val="24"/>
      <w:szCs w:val="24"/>
      <w:lang w:val="nl-NL" w:eastAsia="zh-TW"/>
    </w:rPr>
  </w:style>
  <w:style w:type="paragraph" w:styleId="CommentSubject">
    <w:name w:val="annotation subject"/>
    <w:basedOn w:val="CommentText"/>
    <w:next w:val="CommentText"/>
    <w:link w:val="CommentSubjectChar"/>
    <w:uiPriority w:val="99"/>
    <w:semiHidden/>
    <w:unhideWhenUsed/>
    <w:rsid w:val="00CA58BD"/>
    <w:rPr>
      <w:b/>
      <w:bCs/>
    </w:rPr>
  </w:style>
  <w:style w:type="character" w:customStyle="1" w:styleId="CommentSubjectChar">
    <w:name w:val="Comment Subject Char"/>
    <w:link w:val="CommentSubject"/>
    <w:uiPriority w:val="99"/>
    <w:semiHidden/>
    <w:rsid w:val="00CA58BD"/>
    <w:rPr>
      <w:b/>
      <w:bCs/>
      <w:kern w:val="2"/>
      <w:sz w:val="24"/>
      <w:szCs w:val="24"/>
      <w:lang w:val="nl-NL" w:eastAsia="zh-TW"/>
    </w:rPr>
  </w:style>
  <w:style w:type="paragraph" w:customStyle="1" w:styleId="Revision1">
    <w:name w:val="Revision1"/>
    <w:hidden/>
    <w:uiPriority w:val="99"/>
    <w:semiHidden/>
    <w:rsid w:val="00142360"/>
    <w:rPr>
      <w:kern w:val="2"/>
      <w:sz w:val="24"/>
      <w:szCs w:val="22"/>
      <w:lang w:val="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vantech.com/products/AIMB-213/mod_32A01454-4BEE-4849-865B-7E074E396C8E.aspx" TargetMode="External"/><Relationship Id="rId18" Type="http://schemas.openxmlformats.org/officeDocument/2006/relationships/hyperlink" Target="http://www.advantech.eu/EmbCo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veronica.wellein@advantech.eu" TargetMode="External"/><Relationship Id="rId12" Type="http://schemas.openxmlformats.org/officeDocument/2006/relationships/hyperlink" Target="http://www.advantech.com/products/AIMB-213/mod_32A01454-4BEE-4849-865B-7E074E396C8E.aspx" TargetMode="External"/><Relationship Id="rId17" Type="http://schemas.openxmlformats.org/officeDocument/2006/relationships/hyperlink" Target="http://www.advantech.com/products/AIMB-213/mod_32A01454-4BEE-4849-865B-7E074E396C8E.aspx" TargetMode="External"/><Relationship Id="rId2" Type="http://schemas.openxmlformats.org/officeDocument/2006/relationships/styles" Target="styles.xml"/><Relationship Id="rId16" Type="http://schemas.openxmlformats.org/officeDocument/2006/relationships/hyperlink" Target="http://www.advantech.com/products/AIMB-213/mod_32A01454-4BEE-4849-865B-7E074E396C8E.asp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vantech.com/products/AIMB-213/mod_32A01454-4BEE-4849-865B-7E074E396C8E.aspx" TargetMode="External"/><Relationship Id="rId5" Type="http://schemas.openxmlformats.org/officeDocument/2006/relationships/footnotes" Target="footnotes.xml"/><Relationship Id="rId15" Type="http://schemas.openxmlformats.org/officeDocument/2006/relationships/hyperlink" Target="http://www.advantech.com/products/AIMB-213/mod_32A01454-4BEE-4849-865B-7E074E396C8E.aspx" TargetMode="External"/><Relationship Id="rId10" Type="http://schemas.openxmlformats.org/officeDocument/2006/relationships/hyperlink" Target="http://www.advantech.com/products/AIMB-213/mod_32A01454-4BEE-4849-865B-7E074E396C8E.aspx" TargetMode="External"/><Relationship Id="rId19" Type="http://schemas.openxmlformats.org/officeDocument/2006/relationships/hyperlink" Target="http://www.advantech.eu" TargetMode="External"/><Relationship Id="rId4" Type="http://schemas.openxmlformats.org/officeDocument/2006/relationships/webSettings" Target="webSettings.xml"/><Relationship Id="rId9" Type="http://schemas.openxmlformats.org/officeDocument/2006/relationships/hyperlink" Target="http://www.advantech.com/products/AIMB-213/mod_32A01454-4BEE-4849-865B-7E074E396C8E.aspx" TargetMode="External"/><Relationship Id="rId14" Type="http://schemas.openxmlformats.org/officeDocument/2006/relationships/hyperlink" Target="http://www.advantech.com/products/AIMB-213/mod_32A01454-4BEE-4849-865B-7E074E396C8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857</Words>
  <Characters>4891</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Advantech</Company>
  <LinksUpToDate>false</LinksUpToDate>
  <CharactersWithSpaces>5737</CharactersWithSpaces>
  <SharedDoc>false</SharedDoc>
  <HLinks>
    <vt:vector size="72" baseType="variant">
      <vt:variant>
        <vt:i4>5308419</vt:i4>
      </vt:variant>
      <vt:variant>
        <vt:i4>33</vt:i4>
      </vt:variant>
      <vt:variant>
        <vt:i4>0</vt:i4>
      </vt:variant>
      <vt:variant>
        <vt:i4>5</vt:i4>
      </vt:variant>
      <vt:variant>
        <vt:lpwstr>http://www.advantech.com/</vt:lpwstr>
      </vt:variant>
      <vt:variant>
        <vt:lpwstr/>
      </vt:variant>
      <vt:variant>
        <vt:i4>6029392</vt:i4>
      </vt:variant>
      <vt:variant>
        <vt:i4>30</vt:i4>
      </vt:variant>
      <vt:variant>
        <vt:i4>0</vt:i4>
      </vt:variant>
      <vt:variant>
        <vt:i4>5</vt:i4>
      </vt:variant>
      <vt:variant>
        <vt:lpwstr>http://www.advantech.com/EmbCore</vt:lpwstr>
      </vt:variant>
      <vt:variant>
        <vt:lpwstr/>
      </vt:variant>
      <vt:variant>
        <vt:i4>5046371</vt:i4>
      </vt:variant>
      <vt:variant>
        <vt:i4>27</vt:i4>
      </vt:variant>
      <vt:variant>
        <vt:i4>0</vt:i4>
      </vt:variant>
      <vt:variant>
        <vt:i4>5</vt:i4>
      </vt:variant>
      <vt:variant>
        <vt:lpwstr>http://www.advantech.com/products/AIMB-213/mod_32A01454-4BEE-4849-865B-7E074E396C8E.aspx</vt:lpwstr>
      </vt:variant>
      <vt:variant>
        <vt:lpwstr/>
      </vt:variant>
      <vt:variant>
        <vt:i4>5046371</vt:i4>
      </vt:variant>
      <vt:variant>
        <vt:i4>24</vt:i4>
      </vt:variant>
      <vt:variant>
        <vt:i4>0</vt:i4>
      </vt:variant>
      <vt:variant>
        <vt:i4>5</vt:i4>
      </vt:variant>
      <vt:variant>
        <vt:lpwstr>http://www.advantech.com/products/AIMB-213/mod_32A01454-4BEE-4849-865B-7E074E396C8E.aspx</vt:lpwstr>
      </vt:variant>
      <vt:variant>
        <vt:lpwstr/>
      </vt:variant>
      <vt:variant>
        <vt:i4>5046371</vt:i4>
      </vt:variant>
      <vt:variant>
        <vt:i4>21</vt:i4>
      </vt:variant>
      <vt:variant>
        <vt:i4>0</vt:i4>
      </vt:variant>
      <vt:variant>
        <vt:i4>5</vt:i4>
      </vt:variant>
      <vt:variant>
        <vt:lpwstr>http://www.advantech.com/products/AIMB-213/mod_32A01454-4BEE-4849-865B-7E074E396C8E.aspx</vt:lpwstr>
      </vt:variant>
      <vt:variant>
        <vt:lpwstr/>
      </vt:variant>
      <vt:variant>
        <vt:i4>5046371</vt:i4>
      </vt:variant>
      <vt:variant>
        <vt:i4>18</vt:i4>
      </vt:variant>
      <vt:variant>
        <vt:i4>0</vt:i4>
      </vt:variant>
      <vt:variant>
        <vt:i4>5</vt:i4>
      </vt:variant>
      <vt:variant>
        <vt:lpwstr>http://www.advantech.com/products/AIMB-213/mod_32A01454-4BEE-4849-865B-7E074E396C8E.aspx</vt:lpwstr>
      </vt:variant>
      <vt:variant>
        <vt:lpwstr/>
      </vt:variant>
      <vt:variant>
        <vt:i4>5046371</vt:i4>
      </vt:variant>
      <vt:variant>
        <vt:i4>15</vt:i4>
      </vt:variant>
      <vt:variant>
        <vt:i4>0</vt:i4>
      </vt:variant>
      <vt:variant>
        <vt:i4>5</vt:i4>
      </vt:variant>
      <vt:variant>
        <vt:lpwstr>http://www.advantech.com/products/AIMB-213/mod_32A01454-4BEE-4849-865B-7E074E396C8E.aspx</vt:lpwstr>
      </vt:variant>
      <vt:variant>
        <vt:lpwstr/>
      </vt:variant>
      <vt:variant>
        <vt:i4>5046371</vt:i4>
      </vt:variant>
      <vt:variant>
        <vt:i4>12</vt:i4>
      </vt:variant>
      <vt:variant>
        <vt:i4>0</vt:i4>
      </vt:variant>
      <vt:variant>
        <vt:i4>5</vt:i4>
      </vt:variant>
      <vt:variant>
        <vt:lpwstr>http://www.advantech.com/products/AIMB-213/mod_32A01454-4BEE-4849-865B-7E074E396C8E.aspx</vt:lpwstr>
      </vt:variant>
      <vt:variant>
        <vt:lpwstr/>
      </vt:variant>
      <vt:variant>
        <vt:i4>5046371</vt:i4>
      </vt:variant>
      <vt:variant>
        <vt:i4>9</vt:i4>
      </vt:variant>
      <vt:variant>
        <vt:i4>0</vt:i4>
      </vt:variant>
      <vt:variant>
        <vt:i4>5</vt:i4>
      </vt:variant>
      <vt:variant>
        <vt:lpwstr>http://www.advantech.com/products/AIMB-213/mod_32A01454-4BEE-4849-865B-7E074E396C8E.aspx</vt:lpwstr>
      </vt:variant>
      <vt:variant>
        <vt:lpwstr/>
      </vt:variant>
      <vt:variant>
        <vt:i4>5046371</vt:i4>
      </vt:variant>
      <vt:variant>
        <vt:i4>6</vt:i4>
      </vt:variant>
      <vt:variant>
        <vt:i4>0</vt:i4>
      </vt:variant>
      <vt:variant>
        <vt:i4>5</vt:i4>
      </vt:variant>
      <vt:variant>
        <vt:lpwstr>http://www.advantech.com/products/AIMB-213/mod_32A01454-4BEE-4849-865B-7E074E396C8E.aspx</vt:lpwstr>
      </vt:variant>
      <vt:variant>
        <vt:lpwstr/>
      </vt:variant>
      <vt:variant>
        <vt:i4>5046371</vt:i4>
      </vt:variant>
      <vt:variant>
        <vt:i4>3</vt:i4>
      </vt:variant>
      <vt:variant>
        <vt:i4>0</vt:i4>
      </vt:variant>
      <vt:variant>
        <vt:i4>5</vt:i4>
      </vt:variant>
      <vt:variant>
        <vt:lpwstr>http://www.advantech.com/products/AIMB-213/mod_32A01454-4BEE-4849-865B-7E074E396C8E.aspx</vt:lpwstr>
      </vt:variant>
      <vt:variant>
        <vt:lpwstr/>
      </vt:variant>
      <vt:variant>
        <vt:i4>2883657</vt:i4>
      </vt:variant>
      <vt:variant>
        <vt:i4>0</vt:i4>
      </vt:variant>
      <vt:variant>
        <vt:i4>0</vt:i4>
      </vt:variant>
      <vt:variant>
        <vt:i4>5</vt:i4>
      </vt:variant>
      <vt:variant>
        <vt:lpwstr>mailto:veronica.wellein@advantech.eu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Wendy.Wen</dc:creator>
  <cp:keywords/>
  <cp:lastModifiedBy>pauline.huang</cp:lastModifiedBy>
  <cp:revision>3</cp:revision>
  <cp:lastPrinted>2010-10-30T03:13:00Z</cp:lastPrinted>
  <dcterms:created xsi:type="dcterms:W3CDTF">2011-09-27T10:50:00Z</dcterms:created>
  <dcterms:modified xsi:type="dcterms:W3CDTF">2011-09-27T10:57:00Z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0x01010048643F7EED146344BF599F47279FC527</vt:lpwstr>
  </property>
</Properties>
</file>